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line="360"/>
      </w:pPr>
      <w:r>
        <w:rPr>
          <w:rFonts w:ascii="Times New Roman" w:cs="Times New Roman" w:eastAsia="Times New Roman" w:hAnsi="Times New Roman"/>
          <w:sz w:val="24"/>
          <w:szCs w:val="24"/>
        </w:rPr>
        <w:t xml:space="preserve">[ATTORNEY NAME] (SBN [###])</w:t>
      </w:r>
    </w:p>
    <w:p>
      <w:pPr>
        <w:spacing w:after="200" w:line="360"/>
      </w:pPr>
      <w:r>
        <w:rPr>
          <w:rFonts w:ascii="Times New Roman" w:cs="Times New Roman" w:eastAsia="Times New Roman" w:hAnsi="Times New Roman"/>
          <w:b/>
          <w:bCs/>
          <w:sz w:val="24"/>
          <w:szCs w:val="24"/>
        </w:rPr>
        <w:t xml:space="preserve">[LAW FIRM NAME]</w:t>
      </w:r>
    </w:p>
    <w:p>
      <w:pPr>
        <w:spacing w:after="200" w:line="360"/>
      </w:pPr>
      <w:r>
        <w:rPr>
          <w:rFonts w:ascii="Times New Roman" w:cs="Times New Roman" w:eastAsia="Times New Roman" w:hAnsi="Times New Roman"/>
          <w:sz w:val="24"/>
          <w:szCs w:val="24"/>
        </w:rPr>
        <w:t xml:space="preserve">[FIRM ADDRESS]</w:t>
      </w:r>
    </w:p>
    <w:p>
      <w:pPr>
        <w:spacing w:after="200" w:line="360"/>
      </w:pPr>
      <w:r>
        <w:rPr>
          <w:rFonts w:ascii="Times New Roman" w:cs="Times New Roman" w:eastAsia="Times New Roman" w:hAnsi="Times New Roman"/>
          <w:sz w:val="24"/>
          <w:szCs w:val="24"/>
        </w:rPr>
        <w:t xml:space="preserve">[CITY, STATE ZIP]</w:t>
      </w:r>
    </w:p>
    <w:p>
      <w:pPr>
        <w:spacing w:after="200" w:line="360"/>
      </w:pPr>
      <w:r>
        <w:rPr>
          <w:rFonts w:ascii="Times New Roman" w:cs="Times New Roman" w:eastAsia="Times New Roman" w:hAnsi="Times New Roman"/>
          <w:sz w:val="24"/>
          <w:szCs w:val="24"/>
        </w:rPr>
        <w:t xml:space="preserve">Telephone: [###]</w:t>
      </w:r>
    </w:p>
    <w:p>
      <w:pPr>
        <w:spacing w:after="200" w:line="360"/>
      </w:pPr>
      <w:r>
        <w:rPr>
          <w:rFonts w:ascii="Times New Roman" w:cs="Times New Roman" w:eastAsia="Times New Roman" w:hAnsi="Times New Roman"/>
          <w:sz w:val="24"/>
          <w:szCs w:val="24"/>
        </w:rPr>
        <w:t xml:space="preserve">Facsimile: [###]</w:t>
      </w:r>
    </w:p>
    <w:p>
      <w:pPr>
        <w:spacing w:after="200" w:line="360"/>
      </w:pPr>
      <w:r>
        <w:rPr>
          <w:rFonts w:ascii="Times New Roman" w:cs="Times New Roman" w:eastAsia="Times New Roman" w:hAnsi="Times New Roman"/>
          <w:sz w:val="24"/>
          <w:szCs w:val="24"/>
        </w:rPr>
        <w:t xml:space="preserve">Email: [EMAIL]</w:t>
      </w:r>
    </w:p>
    <w:p>
      <w:pPr>
        <w:spacing w:after="120"/>
      </w:pPr>
      <w:r>
        <w:rPr>
          <w:rFonts w:ascii="Times New Roman" w:cs="Times New Roman" w:eastAsia="Times New Roman" w:hAnsi="Times New Roman"/>
          <w:sz w:val="24"/>
          <w:szCs w:val="24"/>
        </w:rPr>
        <w:t xml:space="preserve"/>
      </w:r>
    </w:p>
    <w:p>
      <w:pPr>
        <w:spacing w:after="200" w:line="360"/>
      </w:pPr>
      <w:r>
        <w:rPr>
          <w:rFonts w:ascii="Times New Roman" w:cs="Times New Roman" w:eastAsia="Times New Roman" w:hAnsi="Times New Roman"/>
          <w:sz w:val="24"/>
          <w:szCs w:val="24"/>
        </w:rPr>
        <w:t xml:space="preserve">Attorneys for Plaintiff [PLAINTIFF NAME]</w:t>
      </w:r>
    </w:p>
    <w:p>
      <w:pPr>
        <w:spacing w:after="120"/>
      </w:pPr>
      <w:r>
        <w:rPr>
          <w:rFonts w:ascii="Times New Roman" w:cs="Times New Roman" w:eastAsia="Times New Roman" w:hAnsi="Times New Roman"/>
          <w:sz w:val="24"/>
          <w:szCs w:val="24"/>
        </w:rPr>
        <w:t xml:space="preserve"/>
      </w:r>
    </w:p>
    <w:p>
      <w:pPr>
        <w:spacing w:after="120"/>
      </w:pPr>
      <w:r>
        <w:rPr>
          <w:rFonts w:ascii="Times New Roman" w:cs="Times New Roman" w:eastAsia="Times New Roman" w:hAnsi="Times New Roman"/>
          <w:sz w:val="24"/>
          <w:szCs w:val="24"/>
        </w:rPr>
        <w:t xml:space="preserve"/>
      </w:r>
    </w:p>
    <w:p>
      <w:pPr>
        <w:spacing w:after="200" w:line="360"/>
        <w:jc w:val="center"/>
      </w:pPr>
      <w:r>
        <w:rPr>
          <w:rFonts w:ascii="Times New Roman" w:cs="Times New Roman" w:eastAsia="Times New Roman" w:hAnsi="Times New Roman"/>
          <w:b/>
          <w:bCs/>
          <w:sz w:val="24"/>
          <w:szCs w:val="24"/>
        </w:rPr>
        <w:t xml:space="preserve">SUPERIOR COURT OF THE STATE OF CALIFORNIA</w:t>
      </w:r>
    </w:p>
    <w:p>
      <w:pPr>
        <w:spacing w:after="200" w:line="360"/>
        <w:jc w:val="center"/>
      </w:pPr>
      <w:r>
        <w:rPr>
          <w:rFonts w:ascii="Times New Roman" w:cs="Times New Roman" w:eastAsia="Times New Roman" w:hAnsi="Times New Roman"/>
          <w:b/>
          <w:bCs/>
          <w:sz w:val="24"/>
          <w:szCs w:val="24"/>
        </w:rPr>
        <w:t xml:space="preserve">FOR THE COUNTY OF [COUNTY]</w:t>
      </w:r>
    </w:p>
    <w:p>
      <w:pPr>
        <w:spacing w:after="120"/>
      </w:pPr>
      <w:r>
        <w:rPr>
          <w:rFonts w:ascii="Times New Roman" w:cs="Times New Roman" w:eastAsia="Times New Roman" w:hAnsi="Times New Roman"/>
          <w:sz w:val="24"/>
          <w:szCs w:val="24"/>
        </w:rPr>
        <w:t xml:space="preserve"/>
      </w:r>
    </w:p>
    <w:p>
      <w:pPr>
        <w:spacing w:after="120" w:line="360"/>
      </w:pPr>
      <w:r>
        <w:rPr>
          <w:rFonts w:ascii="Times New Roman" w:cs="Times New Roman" w:eastAsia="Times New Roman" w:hAnsi="Times New Roman"/>
          <w:b/>
          <w:bCs/>
          <w:sz w:val="24"/>
          <w:szCs w:val="24"/>
        </w:rPr>
        <w:t xml:space="preserve">[PLAINTIFF NAME], an individual,</w:t>
      </w:r>
    </w:p>
    <w:p>
      <w:pPr>
        <w:spacing w:after="200" w:line="360"/>
      </w:pPr>
      <w:r>
        <w:rPr>
          <w:rFonts w:ascii="Times New Roman" w:cs="Times New Roman" w:eastAsia="Times New Roman" w:hAnsi="Times New Roman"/>
          <w:sz w:val="24"/>
          <w:szCs w:val="24"/>
        </w:rPr>
        <w:t xml:space="preserve">                              Plaintiff,</w:t>
      </w:r>
    </w:p>
    <w:p>
      <w:pPr>
        <w:spacing w:after="120"/>
      </w:pPr>
      <w:r>
        <w:rPr>
          <w:rFonts w:ascii="Times New Roman" w:cs="Times New Roman" w:eastAsia="Times New Roman" w:hAnsi="Times New Roman"/>
          <w:sz w:val="24"/>
          <w:szCs w:val="24"/>
        </w:rPr>
        <w:t xml:space="preserve"/>
      </w:r>
    </w:p>
    <w:p>
      <w:pPr>
        <w:spacing w:after="200" w:line="360"/>
      </w:pPr>
      <w:r>
        <w:rPr>
          <w:rFonts w:ascii="Times New Roman" w:cs="Times New Roman" w:eastAsia="Times New Roman" w:hAnsi="Times New Roman"/>
          <w:sz w:val="24"/>
          <w:szCs w:val="24"/>
        </w:rPr>
        <w:t xml:space="preserve">           v.</w:t>
      </w:r>
    </w:p>
    <w:p>
      <w:pPr>
        <w:spacing w:after="120"/>
      </w:pPr>
      <w:r>
        <w:rPr>
          <w:rFonts w:ascii="Times New Roman" w:cs="Times New Roman" w:eastAsia="Times New Roman" w:hAnsi="Times New Roman"/>
          <w:sz w:val="24"/>
          <w:szCs w:val="24"/>
        </w:rPr>
        <w:t xml:space="preserve"/>
      </w:r>
    </w:p>
    <w:p>
      <w:pPr>
        <w:spacing w:after="0" w:line="360"/>
      </w:pPr>
      <w:r>
        <w:rPr>
          <w:rFonts w:ascii="Times New Roman" w:cs="Times New Roman" w:eastAsia="Times New Roman" w:hAnsi="Times New Roman"/>
          <w:b/>
          <w:bCs/>
          <w:sz w:val="24"/>
          <w:szCs w:val="24"/>
        </w:rPr>
        <w:t xml:space="preserve">[TNC NAME], a [STATE OF INCORPORATION]</w:t>
      </w:r>
    </w:p>
    <w:p>
      <w:pPr>
        <w:spacing w:after="0" w:line="360"/>
      </w:pPr>
      <w:r>
        <w:rPr>
          <w:rFonts w:ascii="Times New Roman" w:cs="Times New Roman" w:eastAsia="Times New Roman" w:hAnsi="Times New Roman"/>
          <w:b/>
          <w:bCs/>
          <w:sz w:val="24"/>
          <w:szCs w:val="24"/>
        </w:rPr>
        <w:t xml:space="preserve">Corporation; [SUBSIDIARY 1], a [STATE]</w:t>
      </w:r>
    </w:p>
    <w:p>
      <w:pPr>
        <w:spacing w:after="0" w:line="360"/>
      </w:pPr>
      <w:r>
        <w:rPr>
          <w:rFonts w:ascii="Times New Roman" w:cs="Times New Roman" w:eastAsia="Times New Roman" w:hAnsi="Times New Roman"/>
          <w:b/>
          <w:bCs/>
          <w:sz w:val="24"/>
          <w:szCs w:val="24"/>
        </w:rPr>
        <w:t xml:space="preserve">Limited Liability Company; [SUBSIDIARY 2],</w:t>
      </w:r>
    </w:p>
    <w:p>
      <w:pPr>
        <w:spacing w:after="0" w:line="360"/>
      </w:pPr>
      <w:r>
        <w:rPr>
          <w:rFonts w:ascii="Times New Roman" w:cs="Times New Roman" w:eastAsia="Times New Roman" w:hAnsi="Times New Roman"/>
          <w:b/>
          <w:bCs/>
          <w:sz w:val="24"/>
          <w:szCs w:val="24"/>
        </w:rPr>
        <w:t xml:space="preserve">a [STATE] Limited Liability Company; [DRIVER</w:t>
      </w:r>
    </w:p>
    <w:p>
      <w:pPr>
        <w:spacing w:after="0" w:line="360"/>
      </w:pPr>
      <w:r>
        <w:rPr>
          <w:rFonts w:ascii="Times New Roman" w:cs="Times New Roman" w:eastAsia="Times New Roman" w:hAnsi="Times New Roman"/>
          <w:b/>
          <w:bCs/>
          <w:sz w:val="24"/>
          <w:szCs w:val="24"/>
        </w:rPr>
        <w:t xml:space="preserve">NAME], an individual; and DOES 1 through 100,</w:t>
      </w:r>
    </w:p>
    <w:p>
      <w:pPr>
        <w:spacing w:after="120" w:line="360"/>
      </w:pPr>
      <w:r>
        <w:rPr>
          <w:rFonts w:ascii="Times New Roman" w:cs="Times New Roman" w:eastAsia="Times New Roman" w:hAnsi="Times New Roman"/>
          <w:b/>
          <w:bCs/>
          <w:sz w:val="24"/>
          <w:szCs w:val="24"/>
        </w:rPr>
        <w:t xml:space="preserve">inclusive,</w:t>
      </w:r>
    </w:p>
    <w:p>
      <w:pPr>
        <w:spacing w:after="200" w:line="360"/>
      </w:pPr>
      <w:r>
        <w:rPr>
          <w:rFonts w:ascii="Times New Roman" w:cs="Times New Roman" w:eastAsia="Times New Roman" w:hAnsi="Times New Roman"/>
          <w:sz w:val="24"/>
          <w:szCs w:val="24"/>
        </w:rPr>
        <w:t xml:space="preserve">                              Defendants.</w:t>
      </w:r>
    </w:p>
    <w:p>
      <w:pPr>
        <w:spacing w:after="120"/>
      </w:pPr>
      <w:r>
        <w:rPr>
          <w:rFonts w:ascii="Times New Roman" w:cs="Times New Roman" w:eastAsia="Times New Roman" w:hAnsi="Times New Roman"/>
          <w:sz w:val="24"/>
          <w:szCs w:val="24"/>
        </w:rPr>
        <w:t xml:space="preserve"/>
      </w:r>
    </w:p>
    <w:p>
      <w:pPr>
        <w:spacing w:after="200" w:line="360"/>
      </w:pPr>
      <w:r>
        <w:rPr>
          <w:rFonts w:ascii="Times New Roman" w:cs="Times New Roman" w:eastAsia="Times New Roman" w:hAnsi="Times New Roman"/>
          <w:sz w:val="24"/>
          <w:szCs w:val="24"/>
        </w:rPr>
        <w:t xml:space="preserve">Case No. [CASE NUMBER]</w:t>
      </w:r>
    </w:p>
    <w:p>
      <w:pPr>
        <w:spacing w:after="120"/>
      </w:pPr>
      <w:r>
        <w:rPr>
          <w:rFonts w:ascii="Times New Roman" w:cs="Times New Roman" w:eastAsia="Times New Roman" w:hAnsi="Times New Roman"/>
          <w:sz w:val="24"/>
          <w:szCs w:val="24"/>
        </w:rPr>
        <w:t xml:space="preserve"/>
      </w:r>
    </w:p>
    <w:p>
      <w:pPr>
        <w:spacing w:after="200" w:line="360"/>
        <w:jc w:val="center"/>
      </w:pPr>
      <w:r>
        <w:rPr>
          <w:rFonts w:ascii="Times New Roman" w:cs="Times New Roman" w:eastAsia="Times New Roman" w:hAnsi="Times New Roman"/>
          <w:b/>
          <w:bCs/>
          <w:sz w:val="24"/>
          <w:szCs w:val="24"/>
        </w:rPr>
        <w:t xml:space="preserve">COMPLAINT FOR DAMAGES</w:t>
      </w:r>
    </w:p>
    <w:p>
      <w:pPr>
        <w:spacing w:after="120"/>
      </w:pPr>
      <w:r>
        <w:rPr>
          <w:rFonts w:ascii="Times New Roman" w:cs="Times New Roman" w:eastAsia="Times New Roman" w:hAnsi="Times New Roman"/>
          <w:sz w:val="24"/>
          <w:szCs w:val="24"/>
        </w:rPr>
        <w:t xml:space="preserve"/>
      </w:r>
    </w:p>
    <w:p>
      <w:pPr>
        <w:spacing w:after="200" w:line="360"/>
        <w:jc w:val="center"/>
      </w:pPr>
      <w:r>
        <w:rPr>
          <w:rFonts w:ascii="Times New Roman" w:cs="Times New Roman" w:eastAsia="Times New Roman" w:hAnsi="Times New Roman"/>
          <w:b/>
          <w:bCs/>
          <w:sz w:val="24"/>
          <w:szCs w:val="24"/>
        </w:rPr>
        <w:t xml:space="preserve">1.   Motor Vehicle Negligence</w:t>
      </w:r>
    </w:p>
    <w:p>
      <w:pPr>
        <w:spacing w:after="200" w:line="360"/>
        <w:jc w:val="center"/>
      </w:pPr>
      <w:r>
        <w:rPr>
          <w:rFonts w:ascii="Times New Roman" w:cs="Times New Roman" w:eastAsia="Times New Roman" w:hAnsi="Times New Roman"/>
          <w:b/>
          <w:bCs/>
          <w:sz w:val="24"/>
          <w:szCs w:val="24"/>
        </w:rPr>
        <w:t xml:space="preserve">2.   Statutory Imputation (Pub. Util. Code § 5354)</w:t>
      </w:r>
    </w:p>
    <w:p>
      <w:pPr>
        <w:spacing w:after="200" w:line="360"/>
        <w:jc w:val="center"/>
      </w:pPr>
      <w:r>
        <w:rPr>
          <w:rFonts w:ascii="Times New Roman" w:cs="Times New Roman" w:eastAsia="Times New Roman" w:hAnsi="Times New Roman"/>
          <w:b/>
          <w:bCs/>
          <w:sz w:val="24"/>
          <w:szCs w:val="24"/>
        </w:rPr>
        <w:t xml:space="preserve">3.   Common Carrier Liability (Civ. Code § 2100)</w:t>
      </w:r>
    </w:p>
    <w:p>
      <w:pPr>
        <w:spacing w:after="200" w:line="360"/>
        <w:jc w:val="center"/>
      </w:pPr>
      <w:r>
        <w:rPr>
          <w:rFonts w:ascii="Times New Roman" w:cs="Times New Roman" w:eastAsia="Times New Roman" w:hAnsi="Times New Roman"/>
          <w:b/>
          <w:bCs/>
          <w:sz w:val="24"/>
          <w:szCs w:val="24"/>
        </w:rPr>
        <w:t xml:space="preserve">4.   Vicarious Liability: Regulated Hirer Exception</w:t>
      </w:r>
    </w:p>
    <w:p>
      <w:pPr>
        <w:spacing w:after="200" w:line="360"/>
        <w:jc w:val="center"/>
      </w:pPr>
      <w:r>
        <w:rPr>
          <w:rFonts w:ascii="Times New Roman" w:cs="Times New Roman" w:eastAsia="Times New Roman" w:hAnsi="Times New Roman"/>
          <w:b/>
          <w:bCs/>
          <w:sz w:val="24"/>
          <w:szCs w:val="24"/>
        </w:rPr>
        <w:t xml:space="preserve">5.   Vicarious Liability: Ostensible Agency (CACI 3709)</w:t>
      </w:r>
    </w:p>
    <w:p>
      <w:pPr>
        <w:spacing w:after="200" w:line="360"/>
        <w:jc w:val="center"/>
      </w:pPr>
      <w:r>
        <w:rPr>
          <w:rFonts w:ascii="Times New Roman" w:cs="Times New Roman" w:eastAsia="Times New Roman" w:hAnsi="Times New Roman"/>
          <w:b/>
          <w:bCs/>
          <w:sz w:val="24"/>
          <w:szCs w:val="24"/>
        </w:rPr>
        <w:t xml:space="preserve">6.   Direct Negligence (Civ. Code § 1714)</w:t>
      </w:r>
    </w:p>
    <w:p>
      <w:pPr>
        <w:spacing w:after="200" w:line="360"/>
        <w:jc w:val="center"/>
      </w:pPr>
      <w:r>
        <w:rPr>
          <w:rFonts w:ascii="Times New Roman" w:cs="Times New Roman" w:eastAsia="Times New Roman" w:hAnsi="Times New Roman"/>
          <w:b/>
          <w:bCs/>
          <w:sz w:val="24"/>
          <w:szCs w:val="24"/>
        </w:rPr>
        <w:t xml:space="preserve">7.   Negligent Retention and Supervision</w:t>
      </w:r>
    </w:p>
    <w:p>
      <w:pPr>
        <w:spacing w:after="200" w:line="360"/>
        <w:jc w:val="center"/>
      </w:pPr>
      <w:r>
        <w:rPr>
          <w:rFonts w:ascii="Times New Roman" w:cs="Times New Roman" w:eastAsia="Times New Roman" w:hAnsi="Times New Roman"/>
          <w:b/>
          <w:bCs/>
          <w:sz w:val="24"/>
          <w:szCs w:val="24"/>
        </w:rPr>
        <w:t xml:space="preserve">8.   Negligent Undertaking (CACI 450 / Restatement (Second) of Torts § 324A)</w:t>
      </w:r>
    </w:p>
    <w:p>
      <w:pPr>
        <w:spacing w:after="120"/>
      </w:pPr>
      <w:r>
        <w:rPr>
          <w:rFonts w:ascii="Times New Roman" w:cs="Times New Roman" w:eastAsia="Times New Roman" w:hAnsi="Times New Roman"/>
          <w:sz w:val="24"/>
          <w:szCs w:val="24"/>
        </w:rPr>
        <w:t xml:space="preserve"/>
      </w:r>
    </w:p>
    <w:p>
      <w:pPr>
        <w:spacing w:after="200" w:line="360"/>
        <w:jc w:val="center"/>
      </w:pPr>
      <w:r>
        <w:rPr>
          <w:rFonts w:ascii="Times New Roman" w:cs="Times New Roman" w:eastAsia="Times New Roman" w:hAnsi="Times New Roman"/>
          <w:b/>
          <w:bCs/>
          <w:sz w:val="24"/>
          <w:szCs w:val="24"/>
        </w:rPr>
        <w:t xml:space="preserve">DEMAND FOR JURY TRIAL</w:t>
      </w:r>
    </w:p>
    <w:p>
      <w:pPr>
        <w:spacing w:after="120"/>
      </w:pPr>
      <w:r>
        <w:rPr>
          <w:rFonts w:ascii="Times New Roman" w:cs="Times New Roman" w:eastAsia="Times New Roman" w:hAnsi="Times New Roman"/>
          <w:sz w:val="24"/>
          <w:szCs w:val="24"/>
        </w:rPr>
        <w:t xml:space="preserve"/>
      </w:r>
    </w:p>
    <w:p>
      <w:pPr>
        <w:spacing w:after="120"/>
      </w:pPr>
      <w:r>
        <w:rPr>
          <w:rFonts w:ascii="Times New Roman" w:cs="Times New Roman" w:eastAsia="Times New Roman" w:hAnsi="Times New Roman"/>
          <w:sz w:val="24"/>
          <w:szCs w:val="24"/>
        </w:rPr>
        <w:t xml:space="preserve"/>
      </w:r>
    </w:p>
    <w:p>
      <w:pPr>
        <w:spacing w:after="200" w:line="360"/>
      </w:pPr>
      <w:r>
        <w:rPr>
          <w:rFonts w:ascii="Times New Roman" w:cs="Times New Roman" w:eastAsia="Times New Roman" w:hAnsi="Times New Roman"/>
          <w:sz w:val="24"/>
          <w:szCs w:val="24"/>
        </w:rPr>
        <w:t xml:space="preserve">Plaintiff [PLAINTIFF NAME] alleges as follows:</w:t>
      </w:r>
    </w:p>
    <w:p>
      <w:pPr>
        <w:spacing w:after="120"/>
      </w:pPr>
      <w:r>
        <w:rPr>
          <w:rFonts w:ascii="Times New Roman" w:cs="Times New Roman" w:eastAsia="Times New Roman" w:hAnsi="Times New Roman"/>
          <w:sz w:val="24"/>
          <w:szCs w:val="24"/>
        </w:rPr>
        <w:t xml:space="preserve"/>
      </w:r>
    </w:p>
    <w:p>
      <w:pPr>
        <w:spacing w:after="200" w:before="360" w:line="360"/>
        <w:jc w:val="center"/>
      </w:pPr>
      <w:r>
        <w:rPr>
          <w:rFonts w:ascii="Times New Roman" w:cs="Times New Roman" w:eastAsia="Times New Roman" w:hAnsi="Times New Roman"/>
          <w:b/>
          <w:bCs/>
          <w:sz w:val="24"/>
          <w:szCs w:val="24"/>
          <w:u w:val="single"/>
        </w:rPr>
        <w:t xml:space="preserve">INTRODUCTION</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This action arises from the catastrophic injuries Plaintiff sustained while a passenger in a vehicle negligently operated by Defendant [DRIVER NAME], who was providing transportation services through Defendant [TNC NAME]’s rideshare platform. The collision was the foreseeable result of Defendant [TNC NAME]’s decision to keep a demonstrably dangerous driver on its platform despite documented complaints, prior accidents, and explicit removal requests.</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Defendant [TNC NAME] is liable on multiple independent legal grounds: (i) statutory imputation under Public Utilities Code section 5354; (ii) common carrier liability under Civil Code section 2100; (iii) the regulated hirer exception recognized in Secci v. United Independent Taxi Drivers, Inc. (2017) 8 Cal.App.5th 846; (iv) ostensible agency under California Civil Code section 2300 and CACI 3709; (v) direct negligence under Civil Code section 1714; (vi) negligent retention and supervision; and (vii) negligent undertaking under CACI 450 and Restatement (Second) of Torts section 324A. None of these theories requires that Defendant [DRIVER NAME] be classified as an employee. Proposition 22 has no bearing on any of them.</w:t>
      </w:r>
    </w:p>
    <w:p>
      <w:pPr>
        <w:spacing w:after="200" w:before="360" w:line="360"/>
        <w:jc w:val="center"/>
      </w:pPr>
      <w:r>
        <w:rPr>
          <w:rFonts w:ascii="Times New Roman" w:cs="Times New Roman" w:eastAsia="Times New Roman" w:hAnsi="Times New Roman"/>
          <w:b/>
          <w:bCs/>
          <w:sz w:val="24"/>
          <w:szCs w:val="24"/>
          <w:u w:val="single"/>
        </w:rPr>
        <w:t xml:space="preserve">PARTIES</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Plaintiff [PLAINTIFF NAME] is, and at all relevant times was, an individual residing in [COUNTY] County, California.</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Defendant [TNC NAME] is, and at all relevant times was, a [STATE OF INCORPORATION] corporation with its principal place of business at [TNC ADDRESS]. At all relevant times, [TNC NAME] was authorized to do, and was doing, business in California and in this judicial district. [TNC NAME] operates as a Transportation Network Company under Permit No. [PERMIT NUMBER] issued by the California Public Utilities Commission.</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Defendant [SUBSIDIARY 1] is, and at all relevant times was, a [STATE] limited liability company with its principal place of business at [ADDRESS] and a wholly owned subsidiary of [TNC NAME]. At all relevant times, [SUBSIDIARY 1] was authorized to do, and was doing, business in California and in this judicial district.</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Defendant [SUBSIDIARY 2] is, and at all relevant times was, a [STATE] limited liability company with its principal place of business at [ADDRESS] and a wholly owned subsidiary of [TNC NAME]. At all relevant times, [SUBSIDIARY 2] was authorized to do, and was doing, business in California and in this judicial district.</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Defendants [TNC NAME], [SUBSIDIARY 1], and [SUBSIDIARY 2] are referred to collectively as the “TNC DEFENDANTS.”</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Defendant [DRIVER NAME] (the “DRIVER”) is, and at all relevant times was, an individual who provided rideshare transportation services to passengers, including Plaintiff, through the TNC DEFENDANTS’ platform under the TNC DEFENDANTS’ CPUC permit.</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true names and capacities of Defendants designated as DOES 1 through 100 are unknown to Plaintiff, who therefore sues them by fictitious names. Plaintiff is informed and believes, and on that basis alleges, that each fictitiously named Defendant is responsible in some manner for the events and damages alleged herein. Plaintiff will amend this Complaint to allege their true names and capacities when ascertained.</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At all relevant times, each Defendant was the agent, employee, partner, joint venturer, alter ego, co-conspirator, or representative of every other Defendant, and was acting within the scope of that relationship with the consent and ratification of the other Defendants.</w:t>
      </w:r>
    </w:p>
    <w:p>
      <w:pPr>
        <w:spacing w:after="200" w:before="360" w:line="360"/>
        <w:jc w:val="center"/>
      </w:pPr>
      <w:r>
        <w:rPr>
          <w:rFonts w:ascii="Times New Roman" w:cs="Times New Roman" w:eastAsia="Times New Roman" w:hAnsi="Times New Roman"/>
          <w:b/>
          <w:bCs/>
          <w:sz w:val="24"/>
          <w:szCs w:val="24"/>
          <w:u w:val="single"/>
        </w:rPr>
        <w:t xml:space="preserve">JURISDICTION AND VENUE</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This Court has subject matter jurisdiction because the amount in controversy exceeds the minimum jurisdictional threshold of this Court.</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Venue is proper in this Court under Code of Civil Procedure sections 395 and 395.5 because the injury complained of occurred in this judicial district and one or more Defendants conduct business in this judicial district.</w:t>
      </w:r>
    </w:p>
    <w:p>
      <w:pPr>
        <w:spacing w:after="200" w:before="360" w:line="360"/>
        <w:jc w:val="center"/>
      </w:pPr>
      <w:r>
        <w:rPr>
          <w:rFonts w:ascii="Times New Roman" w:cs="Times New Roman" w:eastAsia="Times New Roman" w:hAnsi="Times New Roman"/>
          <w:b/>
          <w:bCs/>
          <w:sz w:val="24"/>
          <w:szCs w:val="24"/>
          <w:u w:val="single"/>
        </w:rPr>
        <w:t xml:space="preserve">FACTUAL ALLEGATIONS</w:t>
      </w:r>
    </w:p>
    <w:p>
      <w:pPr>
        <w:spacing w:after="120" w:before="240" w:line="360"/>
        <w:jc w:val="left"/>
      </w:pPr>
      <w:r>
        <w:rPr>
          <w:rFonts w:ascii="Times New Roman" w:cs="Times New Roman" w:eastAsia="Times New Roman" w:hAnsi="Times New Roman"/>
          <w:b/>
          <w:bCs/>
          <w:sz w:val="24"/>
          <w:szCs w:val="24"/>
        </w:rPr>
        <w:t xml:space="preserve">A.   The TNC DEFENDANTS’ Rideshare Operation</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TNC DEFENDANTS operate a for profit transportation network through a smartphone application. Passengers request rides through the application. The TNC DEFENDANTS’ proprietary algorithm selects a driver and assigns the ride. The driver then transports the passenger along a route suggested or directed by the TNC DEFENDANTS’ application.</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TNC DEFENDANTS hold a Transportation Network Company permit issued by the California Public Utilities Commission, including Permit No. [PERMIT NUMBER]. That permit incorporates and is subject to CPUC Decisions 13-09-045, 14-04-022, and 14-11-043, among others, which are binding on the TNC DEFENDANTS under Public Utilities Code section 1759(a).</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CPUC Decision 13-09-045 expressly states that because the TNC DEFENDANTS profit from the rideshare service, they “should also be held responsible if the driver is negligent or not applying [TNC] safe practices.” That same Decision states that no TNC Terms of Service “can be inconsistent with this decision.”</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CPUC Decision 14-04-022 expressly states that TNC drivers, even if not employees, “are clearly still agents connected with the firm,” and that “protecting and enhancing public safety is the paramount purpose behind regulating this industry.”</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Public Utilities Code section 5354 provides that the act, omission, or failure of any person providing the authorized transportation service “with the approval or consent of the permit or certificate holder” is the act, omission, or failure of the permit holder. The TNC DEFENDANTS are the permit holders. The DRIVER provided rideshare services with the TNC DEFENDANTS’ approval and consent and under the TNC DEFENDANTS’ permit.</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TNC DEFENDANTS exercise pervasive control over every aspect of the rideshare transaction. They unilaterally set all fares. Drivers cannot negotiate pricing. All passenger payments are processed by the TNC DEFENDANTS, which retain a commission before remitting the balance to the driver. The TNC DEFENDANTS assign rides through a proprietary algorithm, suggest or direct routes, track driver GPS location in real time, collect detailed driving behavior data including speed, braking, acceleration, and phone handling, rate drivers on a star system, enforce written Community Guidelines, and retain unilateral authority to deactivate any driver at any time for any reason.</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TNC DEFENDANTS publicly market their platform as safe. They represent to riders that they are “one of the safest ways to get from A to B,” that their “work on safety is never done,” and that 99.9 percent or 99.9998 percent of trips end without a safety incident. Their Community Guidelines expressly promise riders that the TNC DEFENDANTS “review reports of crashes and potentially unsafe driving behavior,” that rider “feedback matters,” that “honest feedback helps ensure that everyone is accountable for their behavior,” and that their guidelines “were developed to help make every experience feel safe, respectful, and positive.”</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TNC DEFENDANTS collect extensive driving behavior data from every driver’s phone, including GPS location, calculated speed, accelerometer readings, hard braking events, harsh acceleration events, sharp turning events, and phone handling events, through a partnership with Cambridge Mobile Telematics and other providers. The TNC DEFENDANTS use this data to generate driving behavior scores and comparison reports.</w:t>
      </w:r>
    </w:p>
    <w:p>
      <w:pPr>
        <w:spacing w:after="120" w:before="240" w:line="360"/>
        <w:jc w:val="left"/>
      </w:pPr>
      <w:r>
        <w:rPr>
          <w:rFonts w:ascii="Times New Roman" w:cs="Times New Roman" w:eastAsia="Times New Roman" w:hAnsi="Times New Roman"/>
          <w:b/>
          <w:bCs/>
          <w:sz w:val="24"/>
          <w:szCs w:val="24"/>
        </w:rPr>
        <w:t xml:space="preserve">B.   The DRIVER’s Documented Dangerous History</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DRIVER first gained access to the TNC DEFENDANTS’ platform on or about [DRIVER ONBOARDING DATE].</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During the DRIVER’s tenure on the platform, riders submitted numerous complaints, negative driving tags, safety reports, and low ratings concerning the DRIVER’s unsafe driving, including [DESCRIBE KNOWN COMPLAINTS, e.g., speeding, aggressive driving, near misses, failure to maintain control, reckless behavior].</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Before the collision with Plaintiff, the DRIVER was involved in [NUMBER] motor vehicle accidents while driving for the TNC DEFENDANTS.</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Riders specifically requested that the TNC DEFENDANTS remove the DRIVER from the platform because of dangerous driving. The TNC DEFENDANTS did not do so.</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Despite this documented record, the TNC DEFENDANTS allowed the DRIVER to remain on the platform and continued to assign rides to the DRIVER. The TNC DEFENDANTS imposed no minimum number of complaints that would automatically trigger a human review of a driver account. They did not proactively monitor driver accounts for patterns of unsafe behavior. They provided their customer support personnel no written guidelines for determining when a driver should be removed.</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TNC DEFENDANTS knew or should have known that the DRIVER was dangerous. Their own systems collected GPS data, telematics data, complaint data, ratings, and accident reports that, if reviewed, would have revealed a clear and continuing pattern of dangerous driving by the DRIVER. The TNC DEFENDANTS did not review them.</w:t>
      </w:r>
    </w:p>
    <w:p>
      <w:pPr>
        <w:spacing w:after="120" w:before="240" w:line="360"/>
        <w:jc w:val="left"/>
      </w:pPr>
      <w:r>
        <w:rPr>
          <w:rFonts w:ascii="Times New Roman" w:cs="Times New Roman" w:eastAsia="Times New Roman" w:hAnsi="Times New Roman"/>
          <w:b/>
          <w:bCs/>
          <w:sz w:val="24"/>
          <w:szCs w:val="24"/>
        </w:rPr>
        <w:t xml:space="preserve">C.   The Collision</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On [DATE OF INCIDENT], Plaintiff requested a ride through the TNC DEFENDANTS’ application. The TNC DEFENDANTS’ algorithm selected the DRIVER and matched the DRIVER to Plaintiff. Plaintiff entered the DRIVER’s [YEAR MAKE MODEL] (license plate [LICENSE PLATE]) and the DRIVER commenced the trip.</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During the trip, the DRIVER [DESCRIBE DRIVER’S NEGLIGENT CONDUCT, e.g., lost control of the vehicle, drove too fast for the conditions, failed to keep a proper lookout], causing the vehicle to [DESCRIBE COLLISION, e.g., collide with a guardrail, strike another vehicle, leave the roadway] in [COUNTY] County, California (the “INCIDENT”).</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DRIVER’s operation of the vehicle fell below the standard of ordinary care, and below the heightened common carrier standard of care.</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As a direct and legal result of the INCIDENT, Plaintiff sustained severe and permanent injuries, including [DESCRIBE INJURIES, e.g., shoulder injuries requiring surgery, spinal injuries, nerve damage, complex regional pain syndrome], and has incurred and will continue to incur medical expenses, lost earnings, loss of earning capacity, and physical, mental, and emotional pain and suffering.</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INCIDENT and Plaintiff’s resulting injuries were the foreseeable consequence of the TNC DEFENDANTS’ decision to retain the DRIVER on the platform and to match Plaintiff with the DRIVER despite the DRIVER’s documented history of complaints, negative tags, and prior accidents.</w:t>
      </w:r>
    </w:p>
    <w:p>
      <w:pPr>
        <w:spacing w:after="0" w:before="360" w:line="360"/>
        <w:jc w:val="center"/>
      </w:pPr>
      <w:r>
        <w:rPr>
          <w:rFonts w:ascii="Times New Roman" w:cs="Times New Roman" w:eastAsia="Times New Roman" w:hAnsi="Times New Roman"/>
          <w:b/>
          <w:bCs/>
          <w:sz w:val="24"/>
          <w:szCs w:val="24"/>
        </w:rPr>
        <w:t xml:space="preserve">FIRST CAUSE OF ACTION</w:t>
      </w:r>
    </w:p>
    <w:p>
      <w:pPr>
        <w:spacing w:after="0" w:before="0" w:line="360"/>
        <w:jc w:val="center"/>
      </w:pPr>
      <w:r>
        <w:rPr>
          <w:rFonts w:ascii="Times New Roman" w:cs="Times New Roman" w:eastAsia="Times New Roman" w:hAnsi="Times New Roman"/>
          <w:b/>
          <w:bCs/>
          <w:sz w:val="24"/>
          <w:szCs w:val="24"/>
        </w:rPr>
        <w:t xml:space="preserve">(Motor Vehicle Negligence)</w:t>
      </w:r>
    </w:p>
    <w:p>
      <w:pPr>
        <w:spacing w:after="200" w:before="0" w:line="360"/>
        <w:jc w:val="center"/>
      </w:pPr>
      <w:r>
        <w:rPr>
          <w:rFonts w:ascii="Times New Roman" w:cs="Times New Roman" w:eastAsia="Times New Roman" w:hAnsi="Times New Roman"/>
          <w:b/>
          <w:bCs/>
          <w:sz w:val="24"/>
          <w:szCs w:val="24"/>
        </w:rPr>
        <w:t xml:space="preserve">(Against Defendant [DRIVER NAME] and DOES 1 through 100)</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Plaintiff incorporates and realleges each preceding paragraph as though fully set forth herein.</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At all relevant times, the DRIVER had a duty to operate the vehicle with reasonable care, to obey traffic laws, to keep a proper lookout, to maintain control of the vehicle, and to operate the vehicle at a safe speed for the conditions then existing.</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DRIVER breached each of these duties by operating the vehicle in a negligent manner as alleged above, including [BRIEF SUMMARY OF NEGLIGENT CONDUCT].</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DRIVER’s negligence was a substantial factor in causing the INCIDENT and Plaintiff’s resulting injuries.</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As a direct and legal result of the DRIVER’s negligence, Plaintiff sustained the injuries and damages alleged herein, in an amount exceeding the minimum jurisdictional threshold of this Court, to be proven at trial. Plaintiff seeks prejudgment interest pursuant to Civil Code section 3291.</w:t>
      </w:r>
    </w:p>
    <w:p>
      <w:pPr>
        <w:spacing w:after="0" w:before="360" w:line="360"/>
        <w:jc w:val="center"/>
      </w:pPr>
      <w:r>
        <w:rPr>
          <w:rFonts w:ascii="Times New Roman" w:cs="Times New Roman" w:eastAsia="Times New Roman" w:hAnsi="Times New Roman"/>
          <w:b/>
          <w:bCs/>
          <w:sz w:val="24"/>
          <w:szCs w:val="24"/>
        </w:rPr>
        <w:t xml:space="preserve">SECOND CAUSE OF ACTION</w:t>
      </w:r>
    </w:p>
    <w:p>
      <w:pPr>
        <w:spacing w:after="0" w:before="0" w:line="360"/>
        <w:jc w:val="center"/>
      </w:pPr>
      <w:r>
        <w:rPr>
          <w:rFonts w:ascii="Times New Roman" w:cs="Times New Roman" w:eastAsia="Times New Roman" w:hAnsi="Times New Roman"/>
          <w:b/>
          <w:bCs/>
          <w:sz w:val="24"/>
          <w:szCs w:val="24"/>
        </w:rPr>
        <w:t xml:space="preserve">(Statutory Imputation Under Public Utilities Code Section 5354)</w:t>
      </w:r>
    </w:p>
    <w:p>
      <w:pPr>
        <w:spacing w:after="200" w:before="0" w:line="360"/>
        <w:jc w:val="center"/>
      </w:pPr>
      <w:r>
        <w:rPr>
          <w:rFonts w:ascii="Times New Roman" w:cs="Times New Roman" w:eastAsia="Times New Roman" w:hAnsi="Times New Roman"/>
          <w:b/>
          <w:bCs/>
          <w:sz w:val="24"/>
          <w:szCs w:val="24"/>
        </w:rPr>
        <w:t xml:space="preserve">(Against the TNC DEFENDANTS and DOES 1 through 100)</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Plaintiff incorporates and realleges each preceding paragraph as though fully set forth herein.</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TNC DEFENDANTS hold a Transportation Network Company permit issued by the CPUC and are therefore “permit holders” within the meaning of Public Utilities Code section 5354.</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DRIVER provided the authorized rideshare transportation service “with the approval or consent of” the TNC DEFENDANTS within the meaning of Public Utilities Code section 5354. The DRIVER held no independent TNC permit. The DRIVER could provide rideshare services only through the TNC DEFENDANTS’ application and under the TNC DEFENDANTS’ permit. The TNC DEFENDANTS’ algorithm selected and approved the DRIVER to transport Plaintiff.</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Under the plain language of Public Utilities Code section 5354, the act, omission, or failure of the DRIVER in providing the authorized service is, as a matter of statutory law, the act, omission, or failure of the TNC DEFENDANTS as the permit holders. This statutory imputation operates independently of any common law agency, employment, or independent contractor classification.</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TNC DEFENDANTS expressly accepted these statutory obligations when they obtained their TNC permit and have continued to operate under that permit at all relevant times.</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DRIVER’s negligent operation of the vehicle is therefore imputed by statute to the TNC DEFENDANTS, who are liable for the resulting injuries to Plaintiff.</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As a direct and legal result of the conduct imputed to the TNC DEFENDANTS by Public Utilities Code section 5354, Plaintiff sustained the injuries and damages alleged herein, in an amount exceeding the minimum jurisdictional threshold of this Court, to be proven at trial. Plaintiff seeks prejudgment interest pursuant to Civil Code section 3291.</w:t>
      </w:r>
    </w:p>
    <w:p>
      <w:pPr>
        <w:spacing w:after="0" w:before="360" w:line="360"/>
        <w:jc w:val="center"/>
      </w:pPr>
      <w:r>
        <w:rPr>
          <w:rFonts w:ascii="Times New Roman" w:cs="Times New Roman" w:eastAsia="Times New Roman" w:hAnsi="Times New Roman"/>
          <w:b/>
          <w:bCs/>
          <w:sz w:val="24"/>
          <w:szCs w:val="24"/>
        </w:rPr>
        <w:t xml:space="preserve">THIRD CAUSE OF ACTION</w:t>
      </w:r>
    </w:p>
    <w:p>
      <w:pPr>
        <w:spacing w:after="0" w:before="0" w:line="360"/>
        <w:jc w:val="center"/>
      </w:pPr>
      <w:r>
        <w:rPr>
          <w:rFonts w:ascii="Times New Roman" w:cs="Times New Roman" w:eastAsia="Times New Roman" w:hAnsi="Times New Roman"/>
          <w:b/>
          <w:bCs/>
          <w:sz w:val="24"/>
          <w:szCs w:val="24"/>
        </w:rPr>
        <w:t xml:space="preserve">(Common Carrier Liability Under Civil Code Section 2100)</w:t>
      </w:r>
    </w:p>
    <w:p>
      <w:pPr>
        <w:spacing w:after="200" w:before="0" w:line="360"/>
        <w:jc w:val="center"/>
      </w:pPr>
      <w:r>
        <w:rPr>
          <w:rFonts w:ascii="Times New Roman" w:cs="Times New Roman" w:eastAsia="Times New Roman" w:hAnsi="Times New Roman"/>
          <w:b/>
          <w:bCs/>
          <w:sz w:val="24"/>
          <w:szCs w:val="24"/>
        </w:rPr>
        <w:t xml:space="preserve">(Against the TNC DEFENDANTS and DOES 1 through 100)</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Plaintiff incorporates and realleges each preceding paragraph as though fully set forth herein.</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TNC DEFENDANTS are common carriers within the meaning of Civil Code section 2168 because they offer transportation to the public for compensation through their application and platform.</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As common carriers, the TNC DEFENDANTS owed Plaintiff the heightened duty of care set forth in Civil Code section 2100, namely, to “use the utmost care and diligence” for Plaintiff’s safe carriage and to “provide everything necessary for that purpose.”</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common carrier’s duty of utmost care is nondelegable. The TNC DEFENDANTS cannot escape this duty by classifying the DRIVER as an independent contractor or by any other contractual or labor classification.</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TNC DEFENDANTS breached their nondelegable duty of utmost care by, among other acts and omissions, failing to ensure the DRIVER was a competent and safe driver, failing to use the driver behavior, complaint, accident, and rating data they collected to protect riders, failing to remove the DRIVER from the platform despite documented dangerous driving, and matching Plaintiff with the DRIVER despite that record.</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TNC DEFENDANTS’ breach of their common carrier duty was a substantial factor in causing the INCIDENT and Plaintiff’s resulting injuries.</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As a direct and legal result of the TNC DEFENDANTS’ breach of their common carrier duty, Plaintiff sustained the injuries and damages alleged herein, in an amount exceeding the minimum jurisdictional threshold of this Court, to be proven at trial. Plaintiff seeks prejudgment interest pursuant to Civil Code section 3291.</w:t>
      </w:r>
    </w:p>
    <w:p>
      <w:pPr>
        <w:spacing w:after="0" w:before="360" w:line="360"/>
        <w:jc w:val="center"/>
      </w:pPr>
      <w:r>
        <w:rPr>
          <w:rFonts w:ascii="Times New Roman" w:cs="Times New Roman" w:eastAsia="Times New Roman" w:hAnsi="Times New Roman"/>
          <w:b/>
          <w:bCs/>
          <w:sz w:val="24"/>
          <w:szCs w:val="24"/>
        </w:rPr>
        <w:t xml:space="preserve">FOURTH CAUSE OF ACTION</w:t>
      </w:r>
    </w:p>
    <w:p>
      <w:pPr>
        <w:spacing w:after="0" w:before="0" w:line="360"/>
        <w:jc w:val="center"/>
      </w:pPr>
      <w:r>
        <w:rPr>
          <w:rFonts w:ascii="Times New Roman" w:cs="Times New Roman" w:eastAsia="Times New Roman" w:hAnsi="Times New Roman"/>
          <w:b/>
          <w:bCs/>
          <w:sz w:val="24"/>
          <w:szCs w:val="24"/>
        </w:rPr>
        <w:t xml:space="preserve">(Vicarious Liability Under the Regulated Hirer Exception)</w:t>
      </w:r>
    </w:p>
    <w:p>
      <w:pPr>
        <w:spacing w:after="200" w:before="0" w:line="360"/>
        <w:jc w:val="center"/>
      </w:pPr>
      <w:r>
        <w:rPr>
          <w:rFonts w:ascii="Times New Roman" w:cs="Times New Roman" w:eastAsia="Times New Roman" w:hAnsi="Times New Roman"/>
          <w:b/>
          <w:bCs/>
          <w:sz w:val="24"/>
          <w:szCs w:val="24"/>
        </w:rPr>
        <w:t xml:space="preserve">(Against the TNC DEFENDANTS and DOES 1 through 100)</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Plaintiff incorporates and realleges each preceding paragraph as though fully set forth herein.</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Under the regulated hirer exception recognized in Secci v. United Independent Taxi Drivers, Inc. (2017) 8 Cal.App.5th 846, an entity that operates under a government issued permit imposing safety related regulatory obligations on the entity itself is vicariously liable for the negligence of any independent contractor performing the regulated activity, regardless of whether the contractor is classified as an employee.</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TNC DEFENDANTS operate under a CPUC issued TNC permit that imposes specific safety related obligations directly on the TNC DEFENDANTS, including obligations regarding driver screening, training, vehicle inspection, accident reporting, and zero tolerance complaint processing.</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DRIVER performed the regulated rideshare transportation activity under the TNC DEFENDANTS’ permit. The TNC DEFENDANTS’ safety related obligations under that permit cannot be evaded by classifying the DRIVER as an independent contractor.</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Under the regulated hirer exception, the DRIVER’s negligence in causing the INCIDENT is imputed to the TNC DEFENDANTS as the permit holders responsible for the regulated activity.</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As a direct and legal result of the conduct imputed to the TNC DEFENDANTS under the regulated hirer exception, Plaintiff sustained the injuries and damages alleged herein, in an amount exceeding the minimum jurisdictional threshold of this Court, to be proven at trial. Plaintiff seeks prejudgment interest pursuant to Civil Code section 3291.</w:t>
      </w:r>
    </w:p>
    <w:p>
      <w:pPr>
        <w:spacing w:after="0" w:before="360" w:line="360"/>
        <w:jc w:val="center"/>
      </w:pPr>
      <w:r>
        <w:rPr>
          <w:rFonts w:ascii="Times New Roman" w:cs="Times New Roman" w:eastAsia="Times New Roman" w:hAnsi="Times New Roman"/>
          <w:b/>
          <w:bCs/>
          <w:sz w:val="24"/>
          <w:szCs w:val="24"/>
        </w:rPr>
        <w:t xml:space="preserve">FIFTH CAUSE OF ACTION</w:t>
      </w:r>
    </w:p>
    <w:p>
      <w:pPr>
        <w:spacing w:after="0" w:before="0" w:line="360"/>
        <w:jc w:val="center"/>
      </w:pPr>
      <w:r>
        <w:rPr>
          <w:rFonts w:ascii="Times New Roman" w:cs="Times New Roman" w:eastAsia="Times New Roman" w:hAnsi="Times New Roman"/>
          <w:b/>
          <w:bCs/>
          <w:sz w:val="24"/>
          <w:szCs w:val="24"/>
        </w:rPr>
        <w:t xml:space="preserve">(Vicarious Liability Under Ostensible Agency)</w:t>
      </w:r>
    </w:p>
    <w:p>
      <w:pPr>
        <w:spacing w:after="200" w:before="0" w:line="360"/>
        <w:jc w:val="center"/>
      </w:pPr>
      <w:r>
        <w:rPr>
          <w:rFonts w:ascii="Times New Roman" w:cs="Times New Roman" w:eastAsia="Times New Roman" w:hAnsi="Times New Roman"/>
          <w:b/>
          <w:bCs/>
          <w:sz w:val="24"/>
          <w:szCs w:val="24"/>
        </w:rPr>
        <w:t xml:space="preserve">(Against the TNC DEFENDANTS and DOES 1 through 100)</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Plaintiff incorporates and realleges each preceding paragraph as though fully set forth herein.</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Under California Civil Code section 2300 and CACI 3709, a principal is liable for the negligent acts of an ostensible agent when the principal’s conduct causes a third person reasonably to believe that the actor is the principal’s agent and the third person reasonably relies on that belief.</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TNC DEFENDANTS’ conduct caused Plaintiff and the riding public reasonably to believe that the DRIVER was the TNC DEFENDANTS’ agent. Among other things, the TNC DEFENDANTS branded the entire ride experience under the [TNC NAME] name; controlled the entire transaction from ride request through payment through their application; displayed the DRIVER’s name, photograph, vehicle, and rating inside the [TNC NAME] branded application; charged Plaintiff directly and issued a receipt from the TNC DEFENDANTS; set all pricing; required the DRIVER to display the TNC DEFENDANTS’ trade dress on the vehicle; provided customer support exclusively through the TNC DEFENDANTS rather than the DRIVER; made public safety representations holding the TNC DEFENDANTS out as responsible for ride safety; and sent post collision communications directly from the TNC DEFENDANTS to Plaintiff.</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Plaintiff reasonably believed that the DRIVER was acting on behalf of the TNC DEFENDANTS. Plaintiff requested the ride from the TNC DEFENDANTS, was matched with the DRIVER by the TNC DEFENDANTS’ algorithm, entered the DRIVER’s vehicle in reliance on the TNC DEFENDANTS’ branding and safety representations, and paid the TNC DEFENDANTS for the ride.</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Plaintiff’s reasonable belief that the DRIVER was the TNC DEFENDANTS’ agent was a substantial factor in Plaintiff’s decision to use the TNC DEFENDANTS’ platform and to enter the DRIVER’s vehicle.</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Under the doctrine of ostensible agency, the TNC DEFENDANTS are vicariously liable for the DRIVER’s negligent operation of the vehicle and the resulting injuries to Plaintiff.</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As a direct and legal result of the DRIVER’s negligence imputed to the TNC DEFENDANTS through ostensible agency, Plaintiff sustained the injuries and damages alleged herein, in an amount exceeding the minimum jurisdictional threshold of this Court, to be proven at trial. Plaintiff seeks prejudgment interest pursuant to Civil Code section 3291.</w:t>
      </w:r>
    </w:p>
    <w:p>
      <w:pPr>
        <w:spacing w:after="0" w:before="360" w:line="360"/>
        <w:jc w:val="center"/>
      </w:pPr>
      <w:r>
        <w:rPr>
          <w:rFonts w:ascii="Times New Roman" w:cs="Times New Roman" w:eastAsia="Times New Roman" w:hAnsi="Times New Roman"/>
          <w:b/>
          <w:bCs/>
          <w:sz w:val="24"/>
          <w:szCs w:val="24"/>
        </w:rPr>
        <w:t xml:space="preserve">SIXTH CAUSE OF ACTION</w:t>
      </w:r>
    </w:p>
    <w:p>
      <w:pPr>
        <w:spacing w:after="0" w:before="0" w:line="360"/>
        <w:jc w:val="center"/>
      </w:pPr>
      <w:r>
        <w:rPr>
          <w:rFonts w:ascii="Times New Roman" w:cs="Times New Roman" w:eastAsia="Times New Roman" w:hAnsi="Times New Roman"/>
          <w:b/>
          <w:bCs/>
          <w:sz w:val="24"/>
          <w:szCs w:val="24"/>
        </w:rPr>
        <w:t xml:space="preserve">(Direct Negligence Under Civil Code Section 1714)</w:t>
      </w:r>
    </w:p>
    <w:p>
      <w:pPr>
        <w:spacing w:after="200" w:before="0" w:line="360"/>
        <w:jc w:val="center"/>
      </w:pPr>
      <w:r>
        <w:rPr>
          <w:rFonts w:ascii="Times New Roman" w:cs="Times New Roman" w:eastAsia="Times New Roman" w:hAnsi="Times New Roman"/>
          <w:b/>
          <w:bCs/>
          <w:sz w:val="24"/>
          <w:szCs w:val="24"/>
        </w:rPr>
        <w:t xml:space="preserve">(Against the TNC DEFENDANTS and DOES 1 through 100)</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Plaintiff incorporates and realleges each preceding paragraph as though fully set forth herein.</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Under Civil Code section 1714(a), every person is responsible for injuries occasioned by want of ordinary care or skill in the management of the person’s property or person, except so far as the injured person has, willfully or by want of ordinary care, brought the injury upon himself or herself. This duty extends to any actor whose own affirmative conduct creates or contributes to a risk of harm to others.</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TNC DEFENDANTS’ own affirmative conduct created and contributed to the risk that Plaintiff would be harmed. That conduct includes operating a rideshare network, retaining the DRIVER on the platform despite the DRIVER’s documented dangerous history, collecting GPS data, telematics data, complaint data, and rating data while failing to use any of it to protect riders, deploying an algorithm that matched Plaintiff with the DRIVER without considering the DRIVER’s safety record, and publicly representing the platform as safe while taking no meaningful steps to make it so.</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TNC DEFENDANTS’ conduct constitutes misfeasance, not nonfeasance, and falls within the framework articulated in Kuciemba v. Victory Woodworks, Inc. (2023) 14 Cal.5th 993.</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TNC DEFENDANTS’ incentive structures, including “Quest” bonuses, surge pricing, and streak guarantees, were designed to and did encourage drivers, including the DRIVER, to remain on the road for extended consecutive hours, increasing the risk of fatigued and impaired driving.</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TNC DEFENDANTS breached their duty of ordinary care under Civil Code section 1714, and that breach was a substantial factor in causing the INCIDENT and Plaintiff’s resulting injuries. Had the TNC DEFENDANTS exercised ordinary care, the DRIVER would have been removed from the platform, and Plaintiff would never have been matched with the DRIVER.</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As a direct and legal result of the TNC DEFENDANTS’ direct negligence, Plaintiff sustained the injuries and damages alleged herein, in an amount exceeding the minimum jurisdictional threshold of this Court, to be proven at trial. Plaintiff seeks prejudgment interest pursuant to Civil Code section 3291.</w:t>
      </w:r>
    </w:p>
    <w:p>
      <w:pPr>
        <w:spacing w:after="0" w:before="360" w:line="360"/>
        <w:jc w:val="center"/>
      </w:pPr>
      <w:r>
        <w:rPr>
          <w:rFonts w:ascii="Times New Roman" w:cs="Times New Roman" w:eastAsia="Times New Roman" w:hAnsi="Times New Roman"/>
          <w:b/>
          <w:bCs/>
          <w:sz w:val="24"/>
          <w:szCs w:val="24"/>
        </w:rPr>
        <w:t xml:space="preserve">SEVENTH CAUSE OF ACTION</w:t>
      </w:r>
    </w:p>
    <w:p>
      <w:pPr>
        <w:spacing w:after="0" w:before="0" w:line="360"/>
        <w:jc w:val="center"/>
      </w:pPr>
      <w:r>
        <w:rPr>
          <w:rFonts w:ascii="Times New Roman" w:cs="Times New Roman" w:eastAsia="Times New Roman" w:hAnsi="Times New Roman"/>
          <w:b/>
          <w:bCs/>
          <w:sz w:val="24"/>
          <w:szCs w:val="24"/>
        </w:rPr>
        <w:t xml:space="preserve">(Negligent Retention and Supervision)</w:t>
      </w:r>
    </w:p>
    <w:p>
      <w:pPr>
        <w:spacing w:after="200" w:before="0" w:line="360"/>
        <w:jc w:val="center"/>
      </w:pPr>
      <w:r>
        <w:rPr>
          <w:rFonts w:ascii="Times New Roman" w:cs="Times New Roman" w:eastAsia="Times New Roman" w:hAnsi="Times New Roman"/>
          <w:b/>
          <w:bCs/>
          <w:sz w:val="24"/>
          <w:szCs w:val="24"/>
        </w:rPr>
        <w:t xml:space="preserve">(Against the TNC DEFENDANTS and DOES 1 through 100)</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Plaintiff incorporates and realleges each preceding paragraph as though fully set forth herein.</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TNC DEFENDANTS owed Plaintiff a duty to use reasonable care in the retention and supervision of drivers on their platform, so as not to expose riders, including Plaintiff, to an unreasonable risk of harm.</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TNC DEFENDANTS knew or, in the exercise of reasonable care, should have known of the DRIVER’s dangerous propensities. The TNC DEFENDANTS possessed and had access to data showing the DRIVER’s history of negative driving tags, rider complaints, safety reports, prior accidents, and explicit rider requests for the DRIVER’s removal.</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TNC DEFENDANTS failed to act on what they knew or should have known. They did not deactivate the DRIVER. They did not proactively monitor the DRIVER’s account. They imposed no threshold number of complaints or accidents that would automatically trigger a mandatory review. They provided their customer support personnel no written guidelines for determining when removal was required. They did not investigate the DRIVER’s prior accidents before reinstating PLATFORM access. They continued to assign rides to the DRIVER, including the ride during which Plaintiff was injured.</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harm Plaintiff suffered, namely, a collision caused by a driver with a documented history of unsafe driving, was precisely the type of harm rendered foreseeable by the DRIVER’s record.</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TNC DEFENDANTS’ negligent retention and supervision of the DRIVER was a substantial factor in causing the INCIDENT and Plaintiff’s resulting injuries.</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As a direct and legal result of the TNC DEFENDANTS’ negligent retention and supervision of the DRIVER, Plaintiff sustained the injuries and damages alleged herein, in an amount exceeding the minimum jurisdictional threshold of this Court, to be proven at trial. Plaintiff seeks prejudgment interest pursuant to Civil Code section 3291.</w:t>
      </w:r>
    </w:p>
    <w:p>
      <w:pPr>
        <w:spacing w:after="0" w:before="360" w:line="360"/>
        <w:jc w:val="center"/>
      </w:pPr>
      <w:r>
        <w:rPr>
          <w:rFonts w:ascii="Times New Roman" w:cs="Times New Roman" w:eastAsia="Times New Roman" w:hAnsi="Times New Roman"/>
          <w:b/>
          <w:bCs/>
          <w:sz w:val="24"/>
          <w:szCs w:val="24"/>
        </w:rPr>
        <w:t xml:space="preserve">EIGHTH CAUSE OF ACTION</w:t>
      </w:r>
    </w:p>
    <w:p>
      <w:pPr>
        <w:spacing w:after="0" w:before="0" w:line="360"/>
        <w:jc w:val="center"/>
      </w:pPr>
      <w:r>
        <w:rPr>
          <w:rFonts w:ascii="Times New Roman" w:cs="Times New Roman" w:eastAsia="Times New Roman" w:hAnsi="Times New Roman"/>
          <w:b/>
          <w:bCs/>
          <w:sz w:val="24"/>
          <w:szCs w:val="24"/>
        </w:rPr>
        <w:t xml:space="preserve">(Negligent Undertaking (CACI 450 / Restatement (Second) of Torts § 324A))</w:t>
      </w:r>
    </w:p>
    <w:p>
      <w:pPr>
        <w:spacing w:after="200" w:before="0" w:line="360"/>
        <w:jc w:val="center"/>
      </w:pPr>
      <w:r>
        <w:rPr>
          <w:rFonts w:ascii="Times New Roman" w:cs="Times New Roman" w:eastAsia="Times New Roman" w:hAnsi="Times New Roman"/>
          <w:b/>
          <w:bCs/>
          <w:sz w:val="24"/>
          <w:szCs w:val="24"/>
        </w:rPr>
        <w:t xml:space="preserve">(Against the TNC DEFENDANTS and DOES 1 through 100)</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Plaintiff incorporates and realleges each preceding paragraph as though fully set forth herein.</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Under CACI 450 and Restatement (Second) of Torts section 324A, one who undertakes, gratuitously or for consideration, to render services to another that the actor should recognize as necessary for the protection of a third person is subject to liability to the third person for physical harm resulting from the actor’s failure to exercise reasonable care to perform the undertaking, where the failure to exercise reasonable care increases the risk of harm or the harm is suffered because of reliance on the undertaking.</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TNC DEFENDANTS voluntarily undertook, in their Rider Terms, Platform Access Agreement, Community Guidelines, and public representations, to perform specific safety services for the protection of riders, including: reviewing reports of crashes and unsafe driving; using rider feedback to hold drivers accountable; removing unsafe drivers from the platform; and providing riders a safe transportation experience.</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TNC DEFENDANTS should have recognized that these voluntary undertakings were necessary for the protection of riders, including Plaintiff.</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TNC DEFENDANTS failed to exercise reasonable care in performing these undertakings. They represented that they would review reports of crashes and unsafe driving, but they did not review the DRIVER’s history. They represented that rider feedback would hold drivers accountable, but they took no action on the feedback regarding the DRIVER. They represented that unsafe drivers would be removed from the platform, but they continued to assign rides to the DRIVER despite a documented record of dangerous driving.</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The TNC DEFENDANTS’ failure to perform their undertakings with reasonable care increased the risk of harm to Plaintiff. Had the TNC DEFENDANTS performed the undertakings as represented, the DRIVER would have been removed from the platform before the INCIDENT, and Plaintiff would never have been matched with the DRIVER.</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Plaintiff also relied on the TNC DEFENDANTS’ safety representations and undertakings in choosing to use the TNC DEFENDANTS’ platform and entering the DRIVER’s vehicle.</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This claim arises from the TNC DEFENDANTS’ own voluntary contractual and public undertakings and is independent of any classification of the DRIVER as employee, agent, or independent contractor.</w:t>
      </w:r>
    </w:p>
    <w:p>
      <w:pPr>
        <w:pStyle w:val="ListParagraph"/>
        <w:numPr>
          <w:ilvl w:val="0"/>
          <w:numId w:val="2"/>
        </w:numPr>
        <w:spacing w:after="240" w:line="360"/>
        <w:jc w:val="both"/>
      </w:pPr>
      <w:r>
        <w:rPr>
          <w:rFonts w:ascii="Times New Roman" w:cs="Times New Roman" w:eastAsia="Times New Roman" w:hAnsi="Times New Roman"/>
          <w:sz w:val="24"/>
          <w:szCs w:val="24"/>
        </w:rPr>
        <w:t xml:space="preserve">As a direct and legal result of the TNC DEFENDANTS’ negligent undertaking, Plaintiff sustained the injuries and damages alleged herein, in an amount exceeding the minimum jurisdictional threshold of this Court, to be proven at trial. Plaintiff seeks prejudgment interest pursuant to Civil Code section 3291.</w:t>
      </w:r>
    </w:p>
    <w:p>
      <w:pPr>
        <w:spacing w:after="200" w:before="360" w:line="360"/>
        <w:jc w:val="center"/>
      </w:pPr>
      <w:r>
        <w:rPr>
          <w:rFonts w:ascii="Times New Roman" w:cs="Times New Roman" w:eastAsia="Times New Roman" w:hAnsi="Times New Roman"/>
          <w:b/>
          <w:bCs/>
          <w:sz w:val="24"/>
          <w:szCs w:val="24"/>
          <w:u w:val="single"/>
        </w:rPr>
        <w:t xml:space="preserve">PRAYER FOR RELIEF</w:t>
      </w:r>
    </w:p>
    <w:p>
      <w:pPr>
        <w:spacing w:after="200" w:line="360"/>
      </w:pPr>
      <w:r>
        <w:rPr>
          <w:rFonts w:ascii="Times New Roman" w:cs="Times New Roman" w:eastAsia="Times New Roman" w:hAnsi="Times New Roman"/>
          <w:sz w:val="24"/>
          <w:szCs w:val="24"/>
        </w:rPr>
        <w:t xml:space="preserve">WHEREFORE, Plaintiff prays for judgment against Defendants, and each of them, on each cause of action as follows:</w:t>
      </w:r>
    </w:p>
    <w:p>
      <w:pPr>
        <w:spacing w:after="120"/>
      </w:pPr>
      <w:r>
        <w:rPr>
          <w:rFonts w:ascii="Times New Roman" w:cs="Times New Roman" w:eastAsia="Times New Roman" w:hAnsi="Times New Roman"/>
          <w:sz w:val="24"/>
          <w:szCs w:val="24"/>
        </w:rPr>
        <w:t xml:space="preserve"/>
      </w:r>
    </w:p>
    <w:p>
      <w:pPr>
        <w:pStyle w:val="ListParagraph"/>
        <w:numPr>
          <w:ilvl w:val="0"/>
          <w:numId w:val="3"/>
        </w:numPr>
        <w:spacing w:after="120" w:line="360"/>
        <w:jc w:val="left"/>
      </w:pPr>
      <w:r>
        <w:rPr>
          <w:rFonts w:ascii="Times New Roman" w:cs="Times New Roman" w:eastAsia="Times New Roman" w:hAnsi="Times New Roman"/>
          <w:sz w:val="24"/>
          <w:szCs w:val="24"/>
        </w:rPr>
        <w:t xml:space="preserve">For general damages, according to proof;</w:t>
      </w:r>
    </w:p>
    <w:p>
      <w:pPr>
        <w:pStyle w:val="ListParagraph"/>
        <w:numPr>
          <w:ilvl w:val="0"/>
          <w:numId w:val="3"/>
        </w:numPr>
        <w:spacing w:after="120" w:line="360"/>
        <w:jc w:val="left"/>
      </w:pPr>
      <w:r>
        <w:rPr>
          <w:rFonts w:ascii="Times New Roman" w:cs="Times New Roman" w:eastAsia="Times New Roman" w:hAnsi="Times New Roman"/>
          <w:sz w:val="24"/>
          <w:szCs w:val="24"/>
        </w:rPr>
        <w:t xml:space="preserve">For special damages, according to proof;</w:t>
      </w:r>
    </w:p>
    <w:p>
      <w:pPr>
        <w:pStyle w:val="ListParagraph"/>
        <w:numPr>
          <w:ilvl w:val="0"/>
          <w:numId w:val="3"/>
        </w:numPr>
        <w:spacing w:after="120" w:line="360"/>
        <w:jc w:val="left"/>
      </w:pPr>
      <w:r>
        <w:rPr>
          <w:rFonts w:ascii="Times New Roman" w:cs="Times New Roman" w:eastAsia="Times New Roman" w:hAnsi="Times New Roman"/>
          <w:sz w:val="24"/>
          <w:szCs w:val="24"/>
        </w:rPr>
        <w:t xml:space="preserve">For past and future medical expenses, according to proof;</w:t>
      </w:r>
    </w:p>
    <w:p>
      <w:pPr>
        <w:pStyle w:val="ListParagraph"/>
        <w:numPr>
          <w:ilvl w:val="0"/>
          <w:numId w:val="3"/>
        </w:numPr>
        <w:spacing w:after="120" w:line="360"/>
        <w:jc w:val="left"/>
      </w:pPr>
      <w:r>
        <w:rPr>
          <w:rFonts w:ascii="Times New Roman" w:cs="Times New Roman" w:eastAsia="Times New Roman" w:hAnsi="Times New Roman"/>
          <w:sz w:val="24"/>
          <w:szCs w:val="24"/>
        </w:rPr>
        <w:t xml:space="preserve">For past and future loss of earnings and earning capacity, according to proof;</w:t>
      </w:r>
    </w:p>
    <w:p>
      <w:pPr>
        <w:pStyle w:val="ListParagraph"/>
        <w:numPr>
          <w:ilvl w:val="0"/>
          <w:numId w:val="3"/>
        </w:numPr>
        <w:spacing w:after="120" w:line="360"/>
        <w:jc w:val="left"/>
      </w:pPr>
      <w:r>
        <w:rPr>
          <w:rFonts w:ascii="Times New Roman" w:cs="Times New Roman" w:eastAsia="Times New Roman" w:hAnsi="Times New Roman"/>
          <w:sz w:val="24"/>
          <w:szCs w:val="24"/>
        </w:rPr>
        <w:t xml:space="preserve">For prejudgment interest pursuant to Civil Code section 3291;</w:t>
      </w:r>
    </w:p>
    <w:p>
      <w:pPr>
        <w:pStyle w:val="ListParagraph"/>
        <w:numPr>
          <w:ilvl w:val="0"/>
          <w:numId w:val="3"/>
        </w:numPr>
        <w:spacing w:after="120" w:line="360"/>
        <w:jc w:val="left"/>
      </w:pPr>
      <w:r>
        <w:rPr>
          <w:rFonts w:ascii="Times New Roman" w:cs="Times New Roman" w:eastAsia="Times New Roman" w:hAnsi="Times New Roman"/>
          <w:sz w:val="24"/>
          <w:szCs w:val="24"/>
        </w:rPr>
        <w:t xml:space="preserve">For costs of suit incurred herein; and</w:t>
      </w:r>
    </w:p>
    <w:p>
      <w:pPr>
        <w:pStyle w:val="ListParagraph"/>
        <w:numPr>
          <w:ilvl w:val="0"/>
          <w:numId w:val="3"/>
        </w:numPr>
        <w:spacing w:after="120" w:line="360"/>
        <w:jc w:val="left"/>
      </w:pPr>
      <w:r>
        <w:rPr>
          <w:rFonts w:ascii="Times New Roman" w:cs="Times New Roman" w:eastAsia="Times New Roman" w:hAnsi="Times New Roman"/>
          <w:sz w:val="24"/>
          <w:szCs w:val="24"/>
        </w:rPr>
        <w:t xml:space="preserve">For such other and further relief as this Court deems just and proper.</w:t>
      </w:r>
    </w:p>
    <w:p>
      <w:pPr>
        <w:spacing w:after="120"/>
      </w:pPr>
      <w:r>
        <w:rPr>
          <w:rFonts w:ascii="Times New Roman" w:cs="Times New Roman" w:eastAsia="Times New Roman" w:hAnsi="Times New Roman"/>
          <w:sz w:val="24"/>
          <w:szCs w:val="24"/>
        </w:rPr>
        <w:t xml:space="preserve"/>
      </w:r>
    </w:p>
    <w:p>
      <w:pPr>
        <w:spacing w:after="200" w:before="360" w:line="360"/>
        <w:jc w:val="center"/>
      </w:pPr>
      <w:r>
        <w:rPr>
          <w:rFonts w:ascii="Times New Roman" w:cs="Times New Roman" w:eastAsia="Times New Roman" w:hAnsi="Times New Roman"/>
          <w:b/>
          <w:bCs/>
          <w:sz w:val="24"/>
          <w:szCs w:val="24"/>
          <w:u w:val="single"/>
        </w:rPr>
        <w:t xml:space="preserve">DEMAND FOR JURY TRIAL</w:t>
      </w:r>
    </w:p>
    <w:p>
      <w:pPr>
        <w:spacing w:after="200" w:line="360"/>
      </w:pPr>
      <w:r>
        <w:rPr>
          <w:rFonts w:ascii="Times New Roman" w:cs="Times New Roman" w:eastAsia="Times New Roman" w:hAnsi="Times New Roman"/>
          <w:sz w:val="24"/>
          <w:szCs w:val="24"/>
        </w:rPr>
        <w:t xml:space="preserve">Plaintiff demands a trial by jury on all causes of action and issues triable to a jury.</w:t>
      </w:r>
    </w:p>
    <w:p>
      <w:pPr>
        <w:spacing w:after="120"/>
      </w:pPr>
      <w:r>
        <w:rPr>
          <w:rFonts w:ascii="Times New Roman" w:cs="Times New Roman" w:eastAsia="Times New Roman" w:hAnsi="Times New Roman"/>
          <w:sz w:val="24"/>
          <w:szCs w:val="24"/>
        </w:rPr>
        <w:t xml:space="preserve"/>
      </w:r>
    </w:p>
    <w:p>
      <w:pPr>
        <w:spacing w:after="120"/>
      </w:pPr>
      <w:r>
        <w:rPr>
          <w:rFonts w:ascii="Times New Roman" w:cs="Times New Roman" w:eastAsia="Times New Roman" w:hAnsi="Times New Roman"/>
          <w:sz w:val="24"/>
          <w:szCs w:val="24"/>
        </w:rPr>
        <w:t xml:space="preserve"/>
      </w:r>
    </w:p>
    <w:p>
      <w:pPr>
        <w:spacing w:after="200" w:line="360"/>
      </w:pPr>
      <w:r>
        <w:rPr>
          <w:rFonts w:ascii="Times New Roman" w:cs="Times New Roman" w:eastAsia="Times New Roman" w:hAnsi="Times New Roman"/>
          <w:sz w:val="24"/>
          <w:szCs w:val="24"/>
        </w:rPr>
        <w:t xml:space="preserve">DATED: [DATE]</w:t>
      </w:r>
    </w:p>
    <w:p>
      <w:pPr>
        <w:spacing w:after="120"/>
      </w:pPr>
      <w:r>
        <w:rPr>
          <w:rFonts w:ascii="Times New Roman" w:cs="Times New Roman" w:eastAsia="Times New Roman" w:hAnsi="Times New Roman"/>
          <w:sz w:val="24"/>
          <w:szCs w:val="24"/>
        </w:rPr>
        <w:t xml:space="preserve"/>
      </w:r>
    </w:p>
    <w:p>
      <w:pPr>
        <w:spacing w:after="360" w:line="360"/>
      </w:pP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[LAW FIRM NAME]</w:t>
      </w:r>
    </w:p>
    <w:p>
      <w:pPr>
        <w:spacing w:after="120"/>
      </w:pPr>
      <w:r>
        <w:rPr>
          <w:rFonts w:ascii="Times New Roman" w:cs="Times New Roman" w:eastAsia="Times New Roman" w:hAnsi="Times New Roman"/>
          <w:sz w:val="24"/>
          <w:szCs w:val="24"/>
        </w:rPr>
        <w:t xml:space="preserve"/>
      </w:r>
    </w:p>
    <w:p>
      <w:pPr>
        <w:spacing w:after="200" w:line="360"/>
      </w:pPr>
      <w:r>
        <w:rPr>
          <w:rFonts w:ascii="Times New Roman" w:cs="Times New Roman" w:eastAsia="Times New Roman" w:hAnsi="Times New Roman"/>
          <w:sz w:val="24"/>
          <w:szCs w:val="24"/>
        </w:rPr>
        <w:t xml:space="preserve">                                                                              By: ____________________________</w:t>
      </w:r>
    </w:p>
    <w:p>
      <w:pPr>
        <w:spacing w:after="200" w:line="360"/>
      </w:pPr>
      <w:r>
        <w:rPr>
          <w:rFonts w:ascii="Times New Roman" w:cs="Times New Roman" w:eastAsia="Times New Roman" w:hAnsi="Times New Roman"/>
          <w:sz w:val="24"/>
          <w:szCs w:val="24"/>
        </w:rPr>
        <w:t xml:space="preserve">                                                                              [ATTORNEY NAME]</w:t>
      </w:r>
    </w:p>
    <w:p>
      <w:pPr>
        <w:spacing w:after="200" w:line="360"/>
      </w:pPr>
      <w:r>
        <w:rPr>
          <w:rFonts w:ascii="Times New Roman" w:cs="Times New Roman" w:eastAsia="Times New Roman" w:hAnsi="Times New Roman"/>
          <w:sz w:val="24"/>
          <w:szCs w:val="24"/>
        </w:rPr>
        <w:t xml:space="preserve">                                                                              Attorneys for Plaintiff,</w:t>
      </w:r>
    </w:p>
    <w:p>
      <w:pPr>
        <w:spacing w:after="200" w:line="360"/>
      </w:pPr>
      <w:r>
        <w:rPr>
          <w:rFonts w:ascii="Times New Roman" w:cs="Times New Roman" w:eastAsia="Times New Roman" w:hAnsi="Times New Roman"/>
          <w:sz w:val="24"/>
          <w:szCs w:val="24"/>
        </w:rPr>
        <w:t xml:space="preserve">                                                                              [PLAINTIFF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540"/>
      </w:pPr>
      <w:rPr>
        <w:rFonts w:ascii="Times New Roman" w:cs="Times New Roman" w:eastAsia="Times New Roman" w:hAnsi="Times New Roman"/>
        <w:b/>
        <w:bCs/>
        <w:sz w:val="24"/>
        <w:szCs w:val="24"/>
      </w:rPr>
    </w:lvl>
  </w:abstractNum>
  <w:abstractNum w:abstractNumId="3" w15:restartNumberingAfterBreak="0">
    <w:multiLevelType w:val="hybridMultilevel"/>
    <w:lvl w:ilvl="0" w15:tentative="1">
      <w:start w:val="1"/>
      <w:numFmt w:val="decimal"/>
      <w:lvlText w:val="%1."/>
      <w:lvlJc w:val="left"/>
      <w:pPr>
        <w:ind w:left="720" w:hanging="540"/>
      </w:pPr>
      <w:rPr>
        <w:rFonts w:ascii="Times New Roman" w:cs="Times New Roman" w:eastAsia="Times New Roman" w:hAnsi="Times New Roman"/>
        <w:sz w:val="24"/>
        <w:szCs w:val="24"/>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2026-04-28T20:34:56.742Z</dcterms:created>
  <dcterms:modified xsi:type="dcterms:W3CDTF">2026-04-28T20:34:56.743Z</dcterms:modified>
</cp:coreProperties>
</file>

<file path=docProps/custom.xml><?xml version="1.0" encoding="utf-8"?>
<Properties xmlns="http://schemas.openxmlformats.org/officeDocument/2006/custom-properties" xmlns:vt="http://schemas.openxmlformats.org/officeDocument/2006/docPropsVTypes"/>
</file>