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line="360"/>
        <w:jc w:val="center"/>
      </w:pPr>
      <w:r>
        <w:rPr>
          <w:rFonts w:ascii="Times New Roman" w:cs="Times New Roman" w:eastAsia="Times New Roman" w:hAnsi="Times New Roman"/>
          <w:b/>
          <w:bCs/>
          <w:sz w:val="28"/>
          <w:szCs w:val="28"/>
        </w:rPr>
        <w:t xml:space="preserve">PLAINTIFF'S OPPOSITION TO TNC DEFENDANTS' MOTION</w:t>
      </w:r>
    </w:p>
    <w:p>
      <w:pPr>
        <w:spacing w:after="120" w:before="0" w:line="360"/>
        <w:jc w:val="center"/>
      </w:pPr>
      <w:r>
        <w:rPr>
          <w:rFonts w:ascii="Times New Roman" w:cs="Times New Roman" w:eastAsia="Times New Roman" w:hAnsi="Times New Roman"/>
          <w:b/>
          <w:bCs/>
          <w:sz w:val="28"/>
          <w:szCs w:val="28"/>
        </w:rPr>
        <w:t xml:space="preserve">FOR SUMMARY JUDGMENT OR, IN THE ALTERNATIVE,</w:t>
      </w:r>
    </w:p>
    <w:p>
      <w:pPr>
        <w:spacing w:after="480" w:before="0" w:line="360"/>
        <w:jc w:val="center"/>
      </w:pPr>
      <w:r>
        <w:rPr>
          <w:rFonts w:ascii="Times New Roman" w:cs="Times New Roman" w:eastAsia="Times New Roman" w:hAnsi="Times New Roman"/>
          <w:b/>
          <w:bCs/>
          <w:sz w:val="28"/>
          <w:szCs w:val="28"/>
        </w:rPr>
        <w:t xml:space="preserve">SUMMARY ADJUDICATION OF LIABILITY ISSUES</w:t>
      </w:r>
    </w:p>
    <w:p>
      <w:pPr>
        <w:spacing w:after="240" w:before="360" w:line="360"/>
        <w:jc w:val="center"/>
      </w:pPr>
      <w:r>
        <w:rPr>
          <w:rFonts w:ascii="Times New Roman" w:cs="Times New Roman" w:eastAsia="Times New Roman" w:hAnsi="Times New Roman"/>
          <w:b/>
          <w:bCs/>
          <w:sz w:val="24"/>
          <w:szCs w:val="24"/>
        </w:rPr>
        <w:t xml:space="preserve">I.   INTRODUCTION</w:t>
      </w:r>
    </w:p>
    <w:p>
      <w:pPr>
        <w:spacing w:after="240" w:before="0" w:line="480"/>
        <w:ind w:firstLine="720"/>
        <w:jc w:val="both"/>
      </w:pPr>
      <w:r>
        <w:rPr>
          <w:rFonts w:ascii="Times New Roman" w:cs="Times New Roman" w:eastAsia="Times New Roman" w:hAnsi="Times New Roman"/>
          <w:sz w:val="24"/>
          <w:szCs w:val="24"/>
        </w:rPr>
        <w:t xml:space="preserve">Under California law, at least seven independent legal theories establish transportation network company liability for driver negligence. None of them depends on a finding that the driver was the TNC's employee. Several do not require any finding of agency at all. Others operate through statutory attribution frameworks that bypass common law agency entirely. And still others target the TNC's own direct negligence, making the driver's classification entirely beside the point. Each theory stands alone as a sufficient basis for liability. The TNC must defeat all seven to prevail. Its motion fails to defeat any of them.</w:t>
      </w:r>
    </w:p>
    <w:p>
      <w:pPr>
        <w:spacing w:after="240" w:before="0" w:line="480"/>
        <w:ind w:firstLine="720"/>
        <w:jc w:val="both"/>
      </w:pPr>
      <w:r>
        <w:rPr>
          <w:rFonts w:ascii="Times New Roman" w:cs="Times New Roman" w:eastAsia="Times New Roman" w:hAnsi="Times New Roman"/>
          <w:sz w:val="24"/>
          <w:szCs w:val="24"/>
        </w:rPr>
        <w:t xml:space="preserve">The TNC's central argument is familiar: the driver is an independent contractor under Proposition 22, and therefore the TNC bears no liability. But Proposition 22 is a labor classification statute. It does not reference the Public Utilities Code, the Civil Code, or any tort framework. It does not mention passengers, third parties, personal injury, or vicarious liability. The word "vicariously" does not appear in its text. Uber and Lyft drafted Proposition 22. They chose those words. And they chose not to include tort immunity. Having drafted a labor classification statute, they now ask this Court to rewrite it as a tort immunity statute. The Court should decline that invitation.</w:t>
      </w:r>
    </w:p>
    <w:p>
      <w:pPr>
        <w:spacing w:after="240" w:before="0" w:line="480"/>
        <w:ind w:firstLine="720"/>
        <w:jc w:val="both"/>
      </w:pPr>
      <w:r>
        <w:rPr>
          <w:rFonts w:ascii="Times New Roman" w:cs="Times New Roman" w:eastAsia="Times New Roman" w:hAnsi="Times New Roman"/>
          <w:sz w:val="24"/>
          <w:szCs w:val="24"/>
        </w:rPr>
        <w:t xml:space="preserve">The seven theories operate at three distinct levels.</w:t>
      </w:r>
    </w:p>
    <w:p>
      <w:pPr>
        <w:spacing w:after="240" w:before="0" w:line="480"/>
        <w:ind w:firstLine="720"/>
        <w:jc w:val="both"/>
      </w:pPr>
      <w:r>
        <w:rPr>
          <w:rFonts w:ascii="Times New Roman" w:cs="Times New Roman" w:eastAsia="Times New Roman" w:hAnsi="Times New Roman"/>
          <w:b/>
          <w:bCs/>
          <w:sz w:val="24"/>
          <w:szCs w:val="24"/>
        </w:rPr>
        <w:t xml:space="preserve">Statutory and Regulatory Theories.</w:t>
      </w:r>
      <w:r>
        <w:rPr>
          <w:rFonts w:ascii="Times New Roman" w:cs="Times New Roman" w:eastAsia="Times New Roman" w:hAnsi="Times New Roman"/>
          <w:sz w:val="24"/>
          <w:szCs w:val="24"/>
        </w:rPr>
        <w:t xml:space="preserve"> Public Utilities Code section 5354 imputes the conduct of any person providing authorized service under a TNC's permit to the permit holder, regardless of employment classification. Civil Code section 2100 imposes a nondelegable common carrier duty of utmost care. These theories establish liability by operation of law as a consequence of holding a CPUC permit and accepting the regulatory framework that comes with it.</w:t>
      </w:r>
    </w:p>
    <w:p>
      <w:pPr>
        <w:spacing w:after="240" w:before="0" w:line="480"/>
        <w:ind w:firstLine="720"/>
        <w:jc w:val="both"/>
      </w:pPr>
      <w:r>
        <w:rPr>
          <w:rFonts w:ascii="Times New Roman" w:cs="Times New Roman" w:eastAsia="Times New Roman" w:hAnsi="Times New Roman"/>
          <w:b/>
          <w:bCs/>
          <w:sz w:val="24"/>
          <w:szCs w:val="24"/>
        </w:rPr>
        <w:t xml:space="preserve">Vicarious Liability Theories.</w:t>
      </w:r>
      <w:r>
        <w:rPr>
          <w:rFonts w:ascii="Times New Roman" w:cs="Times New Roman" w:eastAsia="Times New Roman" w:hAnsi="Times New Roman"/>
          <w:sz w:val="24"/>
          <w:szCs w:val="24"/>
        </w:rPr>
        <w:t xml:space="preserve"> The regulated hirer exception under </w:t>
      </w:r>
      <w:r>
        <w:rPr>
          <w:rFonts w:ascii="Times New Roman" w:cs="Times New Roman" w:eastAsia="Times New Roman" w:hAnsi="Times New Roman"/>
          <w:i/>
          <w:iCs/>
          <w:sz w:val="24"/>
          <w:szCs w:val="24"/>
        </w:rPr>
        <w:t xml:space="preserve">Secci v. United Independent Taxi Drivers, Inc.</w:t>
      </w:r>
      <w:r>
        <w:rPr>
          <w:rFonts w:ascii="Times New Roman" w:cs="Times New Roman" w:eastAsia="Times New Roman" w:hAnsi="Times New Roman"/>
          <w:sz w:val="24"/>
          <w:szCs w:val="24"/>
        </w:rPr>
        <w:t xml:space="preserve"> (2017) 8 Cal.App.5th 846 and ostensible agency under CACI 3709 establish agency through pathways that do not depend on </w:t>
      </w:r>
      <w:r>
        <w:rPr>
          <w:rFonts w:ascii="Times New Roman" w:cs="Times New Roman" w:eastAsia="Times New Roman" w:hAnsi="Times New Roman"/>
          <w:i/>
          <w:iCs/>
          <w:sz w:val="24"/>
          <w:szCs w:val="24"/>
        </w:rPr>
        <w:t xml:space="preserve">Borello</w:t>
      </w:r>
      <w:r>
        <w:rPr>
          <w:rFonts w:ascii="Times New Roman" w:cs="Times New Roman" w:eastAsia="Times New Roman" w:hAnsi="Times New Roman"/>
          <w:sz w:val="24"/>
          <w:szCs w:val="24"/>
        </w:rPr>
        <w:t xml:space="preserve"> employment classification.</w:t>
      </w:r>
    </w:p>
    <w:p>
      <w:pPr>
        <w:spacing w:after="240" w:before="0" w:line="480"/>
        <w:ind w:firstLine="720"/>
        <w:jc w:val="both"/>
      </w:pPr>
      <w:r>
        <w:rPr>
          <w:rFonts w:ascii="Times New Roman" w:cs="Times New Roman" w:eastAsia="Times New Roman" w:hAnsi="Times New Roman"/>
          <w:b/>
          <w:bCs/>
          <w:sz w:val="24"/>
          <w:szCs w:val="24"/>
        </w:rPr>
        <w:t xml:space="preserve">Direct Liability Theories.</w:t>
      </w:r>
      <w:r>
        <w:rPr>
          <w:rFonts w:ascii="Times New Roman" w:cs="Times New Roman" w:eastAsia="Times New Roman" w:hAnsi="Times New Roman"/>
          <w:sz w:val="24"/>
          <w:szCs w:val="24"/>
        </w:rPr>
        <w:t xml:space="preserve"> Direct negligence under Civil Code section 1714, negligent retention and supervision under CACI 426, and negligent undertaking under CACI 450 and Restatement (Second) of Torts section 324A target the TNC's own institutional conduct, making the driver's classification entirely irrelevant.</w:t>
      </w:r>
    </w:p>
    <w:p>
      <w:pPr>
        <w:spacing w:after="240" w:before="0" w:line="480"/>
        <w:ind w:firstLine="720"/>
        <w:jc w:val="both"/>
      </w:pPr>
      <w:r>
        <w:rPr>
          <w:rFonts w:ascii="Times New Roman" w:cs="Times New Roman" w:eastAsia="Times New Roman" w:hAnsi="Times New Roman"/>
          <w:sz w:val="24"/>
          <w:szCs w:val="24"/>
        </w:rPr>
        <w:t xml:space="preserve">Because these theories are independent, the TNC must defeat all seven to obtain summary judgment. It cannot. The motion should be denied in its entirety.</w:t>
      </w:r>
    </w:p>
    <w:p>
      <w:pPr>
        <w:spacing w:after="240" w:before="360" w:line="360"/>
        <w:jc w:val="center"/>
      </w:pPr>
      <w:r>
        <w:rPr>
          <w:rFonts w:ascii="Times New Roman" w:cs="Times New Roman" w:eastAsia="Times New Roman" w:hAnsi="Times New Roman"/>
          <w:b/>
          <w:bCs/>
          <w:sz w:val="24"/>
          <w:szCs w:val="24"/>
        </w:rPr>
        <w:t xml:space="preserve">II.   THE REGULATORY ORIGIN: HOW UBER AND LYFT CAME UNDER CPUC AUTHORITY</w:t>
      </w:r>
    </w:p>
    <w:p>
      <w:pPr>
        <w:spacing w:after="240" w:before="0" w:line="480"/>
        <w:ind w:firstLine="720"/>
        <w:jc w:val="both"/>
      </w:pPr>
      <w:r>
        <w:rPr>
          <w:rFonts w:ascii="Times New Roman" w:cs="Times New Roman" w:eastAsia="Times New Roman" w:hAnsi="Times New Roman"/>
          <w:sz w:val="24"/>
          <w:szCs w:val="24"/>
        </w:rPr>
        <w:t xml:space="preserve">Before addressing the individual liability theories, this Court should understand how TNCs came under CPUC authority, because the motion rests on the false premise that Uber and Lyft are merely "technology platforms" that connect independent parties. The Court of Appeal's decision in </w:t>
      </w:r>
      <w:r>
        <w:rPr>
          <w:rFonts w:ascii="Times New Roman" w:cs="Times New Roman" w:eastAsia="Times New Roman" w:hAnsi="Times New Roman"/>
          <w:i/>
          <w:iCs/>
          <w:sz w:val="24"/>
          <w:szCs w:val="24"/>
        </w:rPr>
        <w:t xml:space="preserve">Goncharov v. Uber Technologies, Inc.</w:t>
      </w:r>
      <w:r>
        <w:rPr>
          <w:rFonts w:ascii="Times New Roman" w:cs="Times New Roman" w:eastAsia="Times New Roman" w:hAnsi="Times New Roman"/>
          <w:sz w:val="24"/>
          <w:szCs w:val="24"/>
        </w:rPr>
        <w:t xml:space="preserve"> (2018) 19 Cal.App.5th 1157 provides the most detailed judicial account, and it powerfully refutes that assertion.</w:t>
      </w:r>
    </w:p>
    <w:p>
      <w:pPr>
        <w:spacing w:after="240" w:before="0" w:line="480"/>
        <w:ind w:firstLine="720"/>
        <w:jc w:val="both"/>
      </w:pPr>
      <w:r>
        <w:rPr>
          <w:rFonts w:ascii="Times New Roman" w:cs="Times New Roman" w:eastAsia="Times New Roman" w:hAnsi="Times New Roman"/>
          <w:sz w:val="24"/>
          <w:szCs w:val="24"/>
        </w:rPr>
        <w:t xml:space="preserve">When Uber began operating in California, it had not received any licenses, permits, or approvals from the CPUC to operate as a charter party carrier. (</w:t>
      </w:r>
      <w:r>
        <w:rPr>
          <w:rFonts w:ascii="Times New Roman" w:cs="Times New Roman" w:eastAsia="Times New Roman" w:hAnsi="Times New Roman"/>
          <w:i/>
          <w:iCs/>
          <w:sz w:val="24"/>
          <w:szCs w:val="24"/>
        </w:rPr>
        <w:t xml:space="preserve">Goncharov</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 xml:space="preserve">supra</w:t>
      </w:r>
      <w:r>
        <w:rPr>
          <w:rFonts w:ascii="Times New Roman" w:cs="Times New Roman" w:eastAsia="Times New Roman" w:hAnsi="Times New Roman"/>
          <w:sz w:val="24"/>
          <w:szCs w:val="24"/>
        </w:rPr>
        <w:t xml:space="preserve">, 19 Cal.App.5th at p. 1162.) The CPUC responded by issuing a cease and desist letter and citation, asserting Uber was violating CPUC rules and regulations. (</w:t>
      </w:r>
      <w:r>
        <w:rPr>
          <w:rFonts w:ascii="Times New Roman" w:cs="Times New Roman" w:eastAsia="Times New Roman" w:hAnsi="Times New Roman"/>
          <w:i/>
          <w:iCs/>
          <w:sz w:val="24"/>
          <w:szCs w:val="24"/>
        </w:rPr>
        <w:t xml:space="preserve">Ibid.</w:t>
      </w:r>
      <w:r>
        <w:rPr>
          <w:rFonts w:ascii="Times New Roman" w:cs="Times New Roman" w:eastAsia="Times New Roman" w:hAnsi="Times New Roman"/>
          <w:sz w:val="24"/>
          <w:szCs w:val="24"/>
        </w:rPr>
        <w:t xml:space="preserve">) The CPUC also initiated a formal rulemaking "to determine 'whether the CPUC should adopt changes to its regulations pertaining to passenger transportation in light of the emergence of companies with business models such as Uber, Lyft and SideCar.'" (</w:t>
      </w:r>
      <w:r>
        <w:rPr>
          <w:rFonts w:ascii="Times New Roman" w:cs="Times New Roman" w:eastAsia="Times New Roman" w:hAnsi="Times New Roman"/>
          <w:i/>
          <w:iCs/>
          <w:sz w:val="24"/>
          <w:szCs w:val="24"/>
        </w:rPr>
        <w:t xml:space="preserve">Ibid.</w:t>
      </w:r>
      <w:r>
        <w:rPr>
          <w:rFonts w:ascii="Times New Roman" w:cs="Times New Roman" w:eastAsia="Times New Roman" w:hAnsi="Times New Roman"/>
          <w:sz w:val="24"/>
          <w:szCs w:val="24"/>
        </w:rPr>
        <w:t xml:space="preserve">) To resolve the cease and desist, the CPUC and Uber entered into a settlement agreement: the CPUC agreed not to enforce the outstanding citation in exchange for Uber's compliance with certain consumer protection conditions, pending a final decision in the rulemaking. (</w:t>
      </w:r>
      <w:r>
        <w:rPr>
          <w:rFonts w:ascii="Times New Roman" w:cs="Times New Roman" w:eastAsia="Times New Roman" w:hAnsi="Times New Roman"/>
          <w:i/>
          <w:iCs/>
          <w:sz w:val="24"/>
          <w:szCs w:val="24"/>
        </w:rPr>
        <w:t xml:space="preserve">Ibid.</w:t>
      </w:r>
      <w:r>
        <w:rPr>
          <w:rFonts w:ascii="Times New Roman" w:cs="Times New Roman" w:eastAsia="Times New Roman" w:hAnsi="Times New Roman"/>
          <w:sz w:val="24"/>
          <w:szCs w:val="24"/>
        </w:rPr>
        <w:t xml:space="preserve">)</w:t>
      </w:r>
    </w:p>
    <w:p>
      <w:pPr>
        <w:spacing w:after="240" w:before="0" w:line="480"/>
        <w:ind w:firstLine="720"/>
        <w:jc w:val="both"/>
      </w:pPr>
      <w:r>
        <w:rPr>
          <w:rFonts w:ascii="Times New Roman" w:cs="Times New Roman" w:eastAsia="Times New Roman" w:hAnsi="Times New Roman"/>
          <w:sz w:val="24"/>
          <w:szCs w:val="24"/>
        </w:rPr>
        <w:t xml:space="preserve">The CPUC then issued Decision 13-09-045, which established a new subset of charter party carriers known as transportation network companies. The CPUC found that UberX "qualified as a TNC and could not lawfully operate without a CPUC license." (</w:t>
      </w:r>
      <w:r>
        <w:rPr>
          <w:rFonts w:ascii="Times New Roman" w:cs="Times New Roman" w:eastAsia="Times New Roman" w:hAnsi="Times New Roman"/>
          <w:i/>
          <w:iCs/>
          <w:sz w:val="24"/>
          <w:szCs w:val="24"/>
        </w:rPr>
        <w:t xml:space="preserve">Goncharov</w:t>
      </w:r>
      <w:r>
        <w:rPr>
          <w:rFonts w:ascii="Times New Roman" w:cs="Times New Roman" w:eastAsia="Times New Roman" w:hAnsi="Times New Roman"/>
          <w:sz w:val="24"/>
          <w:szCs w:val="24"/>
        </w:rPr>
        <w:t xml:space="preserve"> at p. 1162.) The CPUC "rejected Uber's assertion that TNC's are nothing more than an application on smart phones, rather than part of the transportation industry. . . . Accordingly, Uber is not exempt from the [CPUC]'s jurisdiction over charter-party carriers." (</w:t>
      </w:r>
      <w:r>
        <w:rPr>
          <w:rFonts w:ascii="Times New Roman" w:cs="Times New Roman" w:eastAsia="Times New Roman" w:hAnsi="Times New Roman"/>
          <w:i/>
          <w:iCs/>
          <w:sz w:val="24"/>
          <w:szCs w:val="24"/>
        </w:rPr>
        <w:t xml:space="preserve">Ibid.</w:t>
      </w:r>
      <w:r>
        <w:rPr>
          <w:rFonts w:ascii="Times New Roman" w:cs="Times New Roman" w:eastAsia="Times New Roman" w:hAnsi="Times New Roman"/>
          <w:sz w:val="24"/>
          <w:szCs w:val="24"/>
        </w:rPr>
        <w:t xml:space="preserve">) Uber subsequently applied for and received a TNC permit. (</w:t>
      </w:r>
      <w:r>
        <w:rPr>
          <w:rFonts w:ascii="Times New Roman" w:cs="Times New Roman" w:eastAsia="Times New Roman" w:hAnsi="Times New Roman"/>
          <w:i/>
          <w:iCs/>
          <w:sz w:val="24"/>
          <w:szCs w:val="24"/>
        </w:rPr>
        <w:t xml:space="preserve">Id.</w:t>
      </w:r>
      <w:r>
        <w:rPr>
          <w:rFonts w:ascii="Times New Roman" w:cs="Times New Roman" w:eastAsia="Times New Roman" w:hAnsi="Times New Roman"/>
          <w:sz w:val="24"/>
          <w:szCs w:val="24"/>
        </w:rPr>
        <w:t xml:space="preserve"> at pp. 1162-1163.)</w:t>
      </w:r>
    </w:p>
    <w:p>
      <w:pPr>
        <w:spacing w:after="240" w:before="0" w:line="480"/>
        <w:ind w:firstLine="720"/>
        <w:jc w:val="both"/>
      </w:pPr>
      <w:r>
        <w:rPr>
          <w:rFonts w:ascii="Times New Roman" w:cs="Times New Roman" w:eastAsia="Times New Roman" w:hAnsi="Times New Roman"/>
          <w:sz w:val="24"/>
          <w:szCs w:val="24"/>
        </w:rPr>
        <w:t xml:space="preserve">This history matters for three reasons. First, it conclusively establishes that TNCs are transportation companies subject to CPUC authority, not technology platforms that merely connect independent parties. California federal courts have unambiguously confirmed this characterization. (</w:t>
      </w:r>
      <w:r>
        <w:rPr>
          <w:rFonts w:ascii="Times New Roman" w:cs="Times New Roman" w:eastAsia="Times New Roman" w:hAnsi="Times New Roman"/>
          <w:i/>
          <w:iCs/>
          <w:sz w:val="24"/>
          <w:szCs w:val="24"/>
        </w:rPr>
        <w:t xml:space="preserve">Namisnak v. Uber Techs., Inc.</w:t>
      </w:r>
      <w:r>
        <w:rPr>
          <w:rFonts w:ascii="Times New Roman" w:cs="Times New Roman" w:eastAsia="Times New Roman" w:hAnsi="Times New Roman"/>
          <w:sz w:val="24"/>
          <w:szCs w:val="24"/>
        </w:rPr>
        <w:t xml:space="preserve"> (N.D. Cal. 2020) 444 F.Supp.3d 1136, 1143 ["Uber's claim that it is not a transportation company strains credulity, given the company advertises itself as a 'transportation system'"]; </w:t>
      </w:r>
      <w:r>
        <w:rPr>
          <w:rFonts w:ascii="Times New Roman" w:cs="Times New Roman" w:eastAsia="Times New Roman" w:hAnsi="Times New Roman"/>
          <w:i/>
          <w:iCs/>
          <w:sz w:val="24"/>
          <w:szCs w:val="24"/>
        </w:rPr>
        <w:t xml:space="preserve">O'Connor v. Uber Techs., Inc.</w:t>
      </w:r>
      <w:r>
        <w:rPr>
          <w:rFonts w:ascii="Times New Roman" w:cs="Times New Roman" w:eastAsia="Times New Roman" w:hAnsi="Times New Roman"/>
          <w:sz w:val="24"/>
          <w:szCs w:val="24"/>
        </w:rPr>
        <w:t xml:space="preserve"> (N.D. Cal. 2015) 82 F.Supp.3d 1133, 1141 [Uber's argument that it is merely a technological intermediary between potential riders and potential drivers is "fatally flawed in numerous respects"]; </w:t>
      </w:r>
      <w:r>
        <w:rPr>
          <w:rFonts w:ascii="Times New Roman" w:cs="Times New Roman" w:eastAsia="Times New Roman" w:hAnsi="Times New Roman"/>
          <w:i/>
          <w:iCs/>
          <w:sz w:val="24"/>
          <w:szCs w:val="24"/>
        </w:rPr>
        <w:t xml:space="preserve">Cotter v. Lyft, Inc.</w:t>
      </w:r>
      <w:r>
        <w:rPr>
          <w:rFonts w:ascii="Times New Roman" w:cs="Times New Roman" w:eastAsia="Times New Roman" w:hAnsi="Times New Roman"/>
          <w:sz w:val="24"/>
          <w:szCs w:val="24"/>
        </w:rPr>
        <w:t xml:space="preserve"> (N.D. Cal. 2015) 60 F.Supp.3d 1067, 1078 ["the argument that [a rideshare company] is merely a platform, and that drivers provide no service . . . is not a serious one"]; </w:t>
      </w:r>
      <w:r>
        <w:rPr>
          <w:rFonts w:ascii="Times New Roman" w:cs="Times New Roman" w:eastAsia="Times New Roman" w:hAnsi="Times New Roman"/>
          <w:i/>
          <w:iCs/>
          <w:sz w:val="24"/>
          <w:szCs w:val="24"/>
        </w:rPr>
        <w:t xml:space="preserve">People v. Uber Technologies, Inc.</w:t>
      </w:r>
      <w:r>
        <w:rPr>
          <w:rFonts w:ascii="Times New Roman" w:cs="Times New Roman" w:eastAsia="Times New Roman" w:hAnsi="Times New Roman"/>
          <w:sz w:val="24"/>
          <w:szCs w:val="24"/>
        </w:rPr>
        <w:t xml:space="preserve"> (2020) 56 Cal.App.5th 266, 292 ["A number of cases have considered contentions that ride-sharing companies such as Lyft and Uber are in the business solely of creating technological platforms, not of transporting passengers, and have dismissed them out of hand"].) Second, Uber operates under a CPUC permit not voluntarily but as the result of regulatory enforcement. A company compelled by cease and desist orders to obtain a permit cannot credibly argue that the permit's conditions and governing statutes are merely "regulatory background" with no bearing on its tort obligations. Third, the CPUC's regulatory framework encompasses precisely the operational decisions at issue in any TNC negligent retention case: driver screening, complaint investigation, and safety monitoring.</w:t>
      </w:r>
    </w:p>
    <w:p>
      <w:pPr>
        <w:spacing w:after="240" w:before="360" w:line="360"/>
        <w:jc w:val="center"/>
      </w:pPr>
      <w:r>
        <w:rPr>
          <w:rFonts w:ascii="Times New Roman" w:cs="Times New Roman" w:eastAsia="Times New Roman" w:hAnsi="Times New Roman"/>
          <w:b/>
          <w:bCs/>
          <w:sz w:val="24"/>
          <w:szCs w:val="24"/>
        </w:rPr>
        <w:t xml:space="preserve">III.   STATUTORY IMPUTATION UNDER PUBLIC UTILITIES CODE SECTION 5354</w:t>
      </w:r>
    </w:p>
    <w:p>
      <w:pPr>
        <w:spacing w:after="240" w:before="0" w:line="480"/>
        <w:ind w:firstLine="720"/>
        <w:jc w:val="both"/>
      </w:pPr>
      <w:r>
        <w:rPr>
          <w:rFonts w:ascii="Times New Roman" w:cs="Times New Roman" w:eastAsia="Times New Roman" w:hAnsi="Times New Roman"/>
          <w:sz w:val="24"/>
          <w:szCs w:val="24"/>
        </w:rPr>
        <w:t xml:space="preserve">The strongest theory of TNC liability does not require any finding of employment, agency, or control. It operates through the plain language of a statute that the Legislature enacted to ensure public safety in regulated transportation.</w:t>
      </w:r>
    </w:p>
    <w:p>
      <w:pPr>
        <w:spacing w:after="120" w:before="240" w:line="360"/>
        <w:ind w:left="0"/>
        <w:jc w:val="left"/>
      </w:pPr>
      <w:r>
        <w:rPr>
          <w:rFonts w:ascii="Times New Roman" w:cs="Times New Roman" w:eastAsia="Times New Roman" w:hAnsi="Times New Roman"/>
          <w:b/>
          <w:bCs/>
          <w:sz w:val="24"/>
          <w:szCs w:val="24"/>
        </w:rPr>
        <w:t xml:space="preserve">A.   The Statutory Framework.</w:t>
      </w:r>
    </w:p>
    <w:p>
      <w:pPr>
        <w:spacing w:after="240" w:before="0" w:line="480"/>
        <w:ind w:firstLine="720"/>
        <w:jc w:val="both"/>
      </w:pPr>
      <w:r>
        <w:rPr>
          <w:rFonts w:ascii="Times New Roman" w:cs="Times New Roman" w:eastAsia="Times New Roman" w:hAnsi="Times New Roman"/>
          <w:sz w:val="24"/>
          <w:szCs w:val="24"/>
        </w:rPr>
        <w:t xml:space="preserve">The Legislature has declared that a transportation network company is "a new category of charter-party carriers." (Pub. Util. Code, § 5440, subd. (a).) Charter party carriers operate only by permit issued by the CPUC. The Charter-Party Carriers' Act contains an express imputation provision:</w:t>
      </w:r>
    </w:p>
    <w:p>
      <w:pPr>
        <w:spacing w:after="240" w:before="120" w:line="360"/>
        <w:ind w:left="720" w:right="720"/>
        <w:jc w:val="both"/>
      </w:pPr>
      <w:r>
        <w:rPr>
          <w:rFonts w:ascii="Times New Roman" w:cs="Times New Roman" w:eastAsia="Times New Roman" w:hAnsi="Times New Roman"/>
          <w:sz w:val="24"/>
          <w:szCs w:val="24"/>
        </w:rPr>
        <w:t xml:space="preserve">In construing and enforcing the provisions of this chapter relating to the prescribed privileges and obligations of the holder of a permit or certificate issued hereunder, the act, omission, or failure of any officer, agent, or employee, or person offering to afford the authorized service with the approval or consent of the permit or certificate holder, is the act, omission, or failure of the permit or certificate holder.</w:t>
      </w:r>
    </w:p>
    <w:p>
      <w:pPr>
        <w:spacing w:after="240" w:before="0" w:line="480"/>
        <w:ind w:firstLine="720"/>
        <w:jc w:val="both"/>
      </w:pPr>
      <w:r>
        <w:rPr>
          <w:rFonts w:ascii="Times New Roman" w:cs="Times New Roman" w:eastAsia="Times New Roman" w:hAnsi="Times New Roman"/>
          <w:sz w:val="24"/>
          <w:szCs w:val="24"/>
        </w:rPr>
        <w:t xml:space="preserve">(Pub. Util. Code, § 5354.)</w:t>
      </w:r>
    </w:p>
    <w:p>
      <w:pPr>
        <w:spacing w:after="240" w:before="0" w:line="480"/>
        <w:ind w:firstLine="720"/>
        <w:jc w:val="both"/>
      </w:pPr>
      <w:r>
        <w:rPr>
          <w:rFonts w:ascii="Times New Roman" w:cs="Times New Roman" w:eastAsia="Times New Roman" w:hAnsi="Times New Roman"/>
          <w:sz w:val="24"/>
          <w:szCs w:val="24"/>
        </w:rPr>
        <w:t xml:space="preserve">Section 5354's imputation rule turns on four elements, each of which is satisfied in every TNC passenger injury case. First, the TNC is the permit holder. It holds a CPUC TNC permit and could not lawfully provide rideshare services in California without that permit. Second, the TNC driver is a "person offering to afford the authorized service." TNC drivers do not hold their own CPUC permits; they operate exclusively under the TNC's permit, which authorizes them to carry passengers for compensation. Third, the TNC provides the requisite "approval or consent." The TNC's algorithm selects and dispatches drivers, matches them to ride requests, and riders have no ability to choose their driver or independently access the driver's record. Fourth, the statute applies to "any person offering to afford the authorized service" and contains no employment-relationship requirement. Section 5354 has never been amended to add such a requirement, and no published opinion has imposed one.</w:t>
      </w:r>
      <w:r>
        <w:rPr/>
        <w:t xml:space="preserve"> Section 5354 establishes a direct statutory pathway to liability that operates independently of common-law respondeat superior. It is not duplicative of any other vicarious liability theory. The statute imposes liability by operation of law as a consequence of holding a CPUC permit, and would apply even where common-law agency principles would not. Authority such as </w:t>
      </w:r>
      <w:r>
        <w:rPr>
          <w:i/>
        </w:rPr>
        <w:t>Diaz v. Carcamo</w:t>
      </w:r>
      <w:r>
        <w:rPr/>
        <w:t xml:space="preserve"> (2011) 51 Cal.4th 1148, which addresses pleading consolidation when an employer admits respondeat superior, has no application where the TNC, as here, denies vicarious liability and forces the claimant to prove the carrier-driver relationship independently.</w:t>
      </w:r>
    </w:p>
    <w:p>
      <w:pPr>
        <w:spacing w:after="240" w:before="0" w:line="480"/>
        <w:ind w:firstLine="720"/>
        <w:jc w:val="both"/>
      </w:pPr>
      <w:r>
        <w:rPr>
          <w:rFonts w:ascii="Times New Roman" w:cs="Times New Roman" w:eastAsia="Times New Roman" w:hAnsi="Times New Roman"/>
          <w:sz w:val="24"/>
          <w:szCs w:val="24"/>
        </w:rPr>
        <w:t xml:space="preserve">Three features of this statute make the TNC's classification defense untenable. First, section 5354 does not turn on whether the driver is labeled "employee," "independent contractor," or "agent." It applies to "any person offering to afford the authorized service" with the certificate holder's "approval or consent." The statute's reach is defined by the permit relationship, not by employment classification. Second, section 5354 directly negates the TNC's premise that, if the driver is an independent contractor, no liability follows. The entire purpose of the imputation provision is to ensure that the permit holder bears responsibility for the conduct of those who provide authorized service under its permit, regardless of how those individuals are classified for employment purposes. Third, no published authority limits section 5354's imputation rule to "employees" after </w:t>
      </w:r>
      <w:r>
        <w:rPr>
          <w:rFonts w:ascii="Times New Roman" w:cs="Times New Roman" w:eastAsia="Times New Roman" w:hAnsi="Times New Roman"/>
          <w:i/>
          <w:iCs/>
          <w:sz w:val="24"/>
          <w:szCs w:val="24"/>
        </w:rPr>
        <w:t xml:space="preserve">Castellanos</w:t>
      </w:r>
      <w:r>
        <w:rPr>
          <w:rFonts w:ascii="Times New Roman" w:cs="Times New Roman" w:eastAsia="Times New Roman" w:hAnsi="Times New Roman"/>
          <w:sz w:val="24"/>
          <w:szCs w:val="24"/>
        </w:rPr>
        <w:t xml:space="preserve">, and no published opinion has extended Proposition 22 to preclude statutory liability under the CPUC's regulatory framework.</w:t>
      </w:r>
    </w:p>
    <w:p>
      <w:pPr>
        <w:spacing w:after="120" w:before="240" w:line="360"/>
        <w:ind w:left="0"/>
        <w:jc w:val="left"/>
      </w:pPr>
      <w:r>
        <w:rPr>
          <w:rFonts w:ascii="Times New Roman" w:cs="Times New Roman" w:eastAsia="Times New Roman" w:hAnsi="Times New Roman"/>
          <w:b/>
          <w:bCs/>
          <w:sz w:val="24"/>
          <w:szCs w:val="24"/>
        </w:rPr>
        <w:t xml:space="preserve">B.   The TNC's Permit and Its Binding Obligations.</w:t>
      </w:r>
    </w:p>
    <w:p>
      <w:pPr>
        <w:spacing w:after="240" w:before="0" w:line="480"/>
        <w:ind w:firstLine="720"/>
        <w:jc w:val="both"/>
      </w:pPr>
      <w:r>
        <w:rPr>
          <w:rFonts w:ascii="Times New Roman" w:cs="Times New Roman" w:eastAsia="Times New Roman" w:hAnsi="Times New Roman"/>
          <w:sz w:val="24"/>
          <w:szCs w:val="24"/>
        </w:rPr>
        <w:t xml:space="preserve">Section 5354's application to TNCs is not abstract. The TNC operates in California under a CPUC TNC permit authorizing it to operate as a "Charter-Party Carrier of Passengers, Transportation Network Company" as defined in the Public Utilities Code and CPUC decisions. The permit's standard conditions include the requirement that "Said Carrier shall comply with all Commission orders, decisions, rules, directions, and requirements governing the operations of said Carrier, including Decisions 13-09-045, 14-04-022 and 14-11-043." This permit is the foundation of the TNC's authority to transport passengers in California. Without it, the TNC could not lawfully operate.</w:t>
      </w:r>
    </w:p>
    <w:p>
      <w:pPr>
        <w:spacing w:after="240" w:before="0" w:line="480"/>
        <w:ind w:firstLine="720"/>
        <w:jc w:val="both"/>
      </w:pPr>
      <w:r>
        <w:rPr>
          <w:rFonts w:ascii="Times New Roman" w:cs="Times New Roman" w:eastAsia="Times New Roman" w:hAnsi="Times New Roman"/>
          <w:sz w:val="24"/>
          <w:szCs w:val="24"/>
        </w:rPr>
        <w:t xml:space="preserve">The CPUC decisions specifically referenced in the TNC permit establish, in binding terms, that TNCs bear legal responsibility for their drivers' conduct.</w:t>
      </w:r>
    </w:p>
    <w:p>
      <w:pPr>
        <w:spacing w:after="240" w:before="0" w:line="480"/>
        <w:ind w:firstLine="720"/>
        <w:jc w:val="both"/>
      </w:pPr>
      <w:r>
        <w:rPr>
          <w:rFonts w:ascii="Times New Roman" w:cs="Times New Roman" w:eastAsia="Times New Roman" w:hAnsi="Times New Roman"/>
          <w:b/>
          <w:bCs/>
          <w:sz w:val="24"/>
          <w:szCs w:val="24"/>
        </w:rPr>
        <w:t xml:space="preserve">Decision 13-09-045,</w:t>
      </w:r>
      <w:r>
        <w:rPr>
          <w:rFonts w:ascii="Times New Roman" w:cs="Times New Roman" w:eastAsia="Times New Roman" w:hAnsi="Times New Roman"/>
          <w:sz w:val="24"/>
          <w:szCs w:val="24"/>
        </w:rPr>
        <w:t xml:space="preserve"> titled "Decision Adopting Rules and Regulations to Protect Public Safety While Allowing New Entrants to the Transportation Industry," provides: "Uber by its name alone is selling a type of car service. Because Uber is profiting from this service </w:t>
      </w:r>
      <w:r>
        <w:rPr>
          <w:rFonts w:ascii="Times New Roman" w:cs="Times New Roman" w:eastAsia="Times New Roman" w:hAnsi="Times New Roman"/>
          <w:i/>
          <w:iCs/>
          <w:sz w:val="24"/>
          <w:szCs w:val="24"/>
        </w:rPr>
        <w:t xml:space="preserve">it should also be held responsible if the driver is negligent</w:t>
      </w:r>
      <w:r>
        <w:rPr>
          <w:rFonts w:ascii="Times New Roman" w:cs="Times New Roman" w:eastAsia="Times New Roman" w:hAnsi="Times New Roman"/>
          <w:sz w:val="24"/>
          <w:szCs w:val="24"/>
        </w:rPr>
        <w:t xml:space="preserve"> or not applying Uber safe practices." (Emphasis added.) The same decision prohibits TNCs from contracting around these obligations: "No Term &amp; Condition in a TNC's Terms of Service or elsewhere, can be inconsistent with this decision. Nor can any Term &amp; Condition in a TNC's Terms of Service be used or relied on by the TNC to deny insurance coverage, or otherwise evade the insurance requirements established in this decision. Moreover, the Terms of Service does not absolve the TNC of its responsibilities to comply with the stated regulations in this decision to ensure safety of the public."</w:t>
      </w:r>
    </w:p>
    <w:p>
      <w:pPr>
        <w:spacing w:after="240" w:before="0" w:line="480"/>
        <w:ind w:firstLine="720"/>
        <w:jc w:val="both"/>
      </w:pPr>
      <w:r>
        <w:rPr>
          <w:rFonts w:ascii="Times New Roman" w:cs="Times New Roman" w:eastAsia="Times New Roman" w:hAnsi="Times New Roman"/>
          <w:b/>
          <w:bCs/>
          <w:sz w:val="24"/>
          <w:szCs w:val="24"/>
        </w:rPr>
        <w:t xml:space="preserve">Decision 14-04-022</w:t>
      </w:r>
      <w:r>
        <w:rPr>
          <w:rFonts w:ascii="Times New Roman" w:cs="Times New Roman" w:eastAsia="Times New Roman" w:hAnsi="Times New Roman"/>
          <w:sz w:val="24"/>
          <w:szCs w:val="24"/>
        </w:rPr>
        <w:t xml:space="preserve"> addresses the permit structure directly: "As we have consistently interpreted the permit requirement, drivers do not need to have individual permits, but rather the firm or corporation must have a permit. Although in the context of TNCs the drivers are not employees, </w:t>
      </w:r>
      <w:r>
        <w:rPr>
          <w:rFonts w:ascii="Times New Roman" w:cs="Times New Roman" w:eastAsia="Times New Roman" w:hAnsi="Times New Roman"/>
          <w:i/>
          <w:iCs/>
          <w:sz w:val="24"/>
          <w:szCs w:val="24"/>
        </w:rPr>
        <w:t xml:space="preserve">they are clearly still agents connected with the firm</w:t>
      </w:r>
      <w:r>
        <w:rPr>
          <w:rFonts w:ascii="Times New Roman" w:cs="Times New Roman" w:eastAsia="Times New Roman" w:hAnsi="Times New Roman"/>
          <w:sz w:val="24"/>
          <w:szCs w:val="24"/>
        </w:rPr>
        <w:t xml:space="preserve">." The CPUC relieved participating drivers of the requirement to obtain individual permits precisely because they operate as agents under the TNC's permit. In exchange, TNCs bear responsibility for driver conduct under the permit.</w:t>
      </w:r>
    </w:p>
    <w:p>
      <w:pPr>
        <w:spacing w:after="240" w:before="0" w:line="480"/>
        <w:ind w:firstLine="720"/>
        <w:jc w:val="both"/>
      </w:pPr>
      <w:r>
        <w:rPr>
          <w:rFonts w:ascii="Times New Roman" w:cs="Times New Roman" w:eastAsia="Times New Roman" w:hAnsi="Times New Roman"/>
          <w:sz w:val="24"/>
          <w:szCs w:val="24"/>
        </w:rPr>
        <w:t xml:space="preserve">These decisions are not aspirational policy statements. They are binding conditions of the TNC's operating authority and binding on courts construing the chapter under section 5354.</w:t>
      </w:r>
    </w:p>
    <w:p>
      <w:pPr>
        <w:spacing w:after="120" w:before="240" w:line="360"/>
        <w:ind w:left="0"/>
        <w:jc w:val="left"/>
      </w:pPr>
      <w:r>
        <w:rPr>
          <w:rFonts w:ascii="Times New Roman" w:cs="Times New Roman" w:eastAsia="Times New Roman" w:hAnsi="Times New Roman"/>
          <w:b/>
          <w:bCs/>
          <w:sz w:val="24"/>
          <w:szCs w:val="24"/>
        </w:rPr>
        <w:t xml:space="preserve">C.   The Driver Provided Authorized Service With the TNC's Approval and Consent.</w:t>
      </w:r>
    </w:p>
    <w:p>
      <w:pPr>
        <w:spacing w:after="240" w:before="0" w:line="480"/>
        <w:ind w:firstLine="720"/>
        <w:jc w:val="both"/>
      </w:pPr>
      <w:r>
        <w:rPr>
          <w:rFonts w:ascii="Times New Roman" w:cs="Times New Roman" w:eastAsia="Times New Roman" w:hAnsi="Times New Roman"/>
          <w:sz w:val="24"/>
          <w:szCs w:val="24"/>
        </w:rPr>
        <w:t xml:space="preserve">Section 5354's imputation applies to "any person offering to afford the authorized service with the approval or consent of the permit or certificate holder." The "authorized service" is passenger transportation. The "permit or certificate holder" is the TNC. The driver never obtained his own CPUC permit. He operated exclusively under the TNC's permit, which permitted him to carry passengers for compensation. The "person offering to afford the authorized service" for purposes of the statute is the "participating driver," defined as "any person who uses a vehicle in connection with a transportation network company's online-enabled application or platform to connect with passengers." (Pub. Util. Code, § 5431, subd. (a).) The driver fits this definition exactly.</w:t>
      </w:r>
    </w:p>
    <w:p>
      <w:pPr>
        <w:spacing w:after="240" w:before="0" w:line="480"/>
        <w:ind w:firstLine="720"/>
        <w:jc w:val="both"/>
      </w:pPr>
      <w:r>
        <w:rPr>
          <w:rFonts w:ascii="Times New Roman" w:cs="Times New Roman" w:eastAsia="Times New Roman" w:hAnsi="Times New Roman"/>
          <w:sz w:val="24"/>
          <w:szCs w:val="24"/>
        </w:rPr>
        <w:t xml:space="preserve">When the TNC's algorithm selected the driver and matched him to the plaintiff's ride request, that constituted the TNC's "approval or consent" under the statute. The TNC affirmatively chose to deploy that driver to transport that passenger. The matching was not initiated by the passenger, who had no ability to select, approve, or reject the specific driver assigned to her ride. The permit holder controlled the selection process. Section 5354 imputes the consequences of that selection to the permit holder.</w:t>
      </w:r>
    </w:p>
    <w:p>
      <w:pPr>
        <w:spacing w:after="240" w:before="0" w:line="480"/>
        <w:ind w:firstLine="720"/>
        <w:jc w:val="both"/>
      </w:pPr>
      <w:r>
        <w:rPr>
          <w:rFonts w:ascii="Times New Roman" w:cs="Times New Roman" w:eastAsia="Times New Roman" w:hAnsi="Times New Roman"/>
          <w:sz w:val="24"/>
          <w:szCs w:val="24"/>
        </w:rPr>
        <w:t xml:space="preserve">The driver's negligence in performing the transportation service under the TNC's permit is, by operation of section 5354, the TNC's negligence. The statute does not require an employment relationship. It does not require a finding of common law agency. It requires only that the person providing the authorized service did so with the permit holder's approval or consent. That condition is satisfied every time the TNC's algorithm matches a driver to a passenger.</w:t>
      </w:r>
    </w:p>
    <w:p>
      <w:pPr>
        <w:spacing w:after="120" w:before="240" w:line="360"/>
        <w:ind w:left="0"/>
        <w:jc w:val="left"/>
      </w:pPr>
      <w:r>
        <w:rPr>
          <w:rFonts w:ascii="Times New Roman" w:cs="Times New Roman" w:eastAsia="Times New Roman" w:hAnsi="Times New Roman"/>
          <w:b/>
          <w:bCs/>
          <w:sz w:val="24"/>
          <w:szCs w:val="24"/>
        </w:rPr>
        <w:t xml:space="preserve">D.   Section 5433(f) Confirms TNC Liability for Driver Negligence in Accident Cases.</w:t>
      </w:r>
    </w:p>
    <w:p>
      <w:pPr>
        <w:spacing w:after="240" w:before="0" w:line="480"/>
        <w:ind w:firstLine="720"/>
        <w:jc w:val="both"/>
      </w:pPr>
      <w:r>
        <w:rPr>
          <w:rFonts w:ascii="Times New Roman" w:cs="Times New Roman" w:eastAsia="Times New Roman" w:hAnsi="Times New Roman"/>
          <w:sz w:val="24"/>
          <w:szCs w:val="24"/>
        </w:rPr>
        <w:t xml:space="preserve">This conclusion is reinforced by Public Utilities Code section 5433, subdivision (f), which provides that the insurance requirements "shall not limit the liability of a transportation network company arising out of an automobile accident involving a participating driver in any action for damages against a transportation network company for an amount above the required insurance coverage."</w:t>
      </w:r>
    </w:p>
    <w:p>
      <w:pPr>
        <w:spacing w:after="240" w:before="0" w:line="480"/>
        <w:ind w:firstLine="720"/>
        <w:jc w:val="both"/>
      </w:pPr>
      <w:r>
        <w:rPr>
          <w:rFonts w:ascii="Times New Roman" w:cs="Times New Roman" w:eastAsia="Times New Roman" w:hAnsi="Times New Roman"/>
          <w:sz w:val="24"/>
          <w:szCs w:val="24"/>
        </w:rPr>
        <w:t xml:space="preserve">This savings clause is significant in two respects. First, it presupposes that TNC liability exists above the required insurance coverage. The Legislature would not have needed to preserve such liability unless there were a source of TNC liability that could exceed the insurance minimums. Section 5354's imputation of driver negligence to the permit holder is the most obvious such source. If section 5354 did not impute driver negligence to the TNC, there would be no TNC liability for a motor vehicle accident to preserve, and section 5433(f) would be superfluous. Second, section 5433(f) refutes the argument that Proposition 22's insurance mandate was intended to substitute for vicarious liability. The Legislature expressly preserved TNC liability for amounts above the required insurance. That is irreconcilable with a regime in which insurance is the sole mechanism for compensating injured persons. The savings clause confirms that the insurance requirements were intended as a floor, not a ceiling, on TNC accountability.</w:t>
      </w:r>
    </w:p>
    <w:p>
      <w:pPr>
        <w:spacing w:after="120" w:before="240" w:line="360"/>
        <w:ind w:left="0"/>
        <w:jc w:val="left"/>
      </w:pPr>
      <w:r>
        <w:rPr>
          <w:rFonts w:ascii="Times New Roman" w:cs="Times New Roman" w:eastAsia="Times New Roman" w:hAnsi="Times New Roman"/>
          <w:b/>
          <w:bCs/>
          <w:sz w:val="24"/>
          <w:szCs w:val="24"/>
        </w:rPr>
        <w:t xml:space="preserve">E.   Public Utilities Code Section 2106 Provides an Independent Private Right of Action.</w:t>
      </w:r>
    </w:p>
    <w:p>
      <w:pPr>
        <w:spacing w:after="240" w:before="0" w:line="480"/>
        <w:ind w:firstLine="720"/>
        <w:jc w:val="both"/>
      </w:pPr>
      <w:r>
        <w:rPr>
          <w:rFonts w:ascii="Times New Roman" w:cs="Times New Roman" w:eastAsia="Times New Roman" w:hAnsi="Times New Roman"/>
          <w:sz w:val="24"/>
          <w:szCs w:val="24"/>
        </w:rPr>
        <w:t xml:space="preserve">The TNC's argument that the CPUC framework creates no private right of action is squarely contradicted by Public Utilities Code section 2106, which provides:</w:t>
      </w:r>
    </w:p>
    <w:p>
      <w:pPr>
        <w:spacing w:after="240" w:before="120" w:line="360"/>
        <w:ind w:left="720" w:right="720"/>
        <w:jc w:val="both"/>
      </w:pPr>
      <w:r>
        <w:rPr>
          <w:rFonts w:ascii="Times New Roman" w:cs="Times New Roman" w:eastAsia="Times New Roman" w:hAnsi="Times New Roman"/>
          <w:sz w:val="24"/>
          <w:szCs w:val="24"/>
        </w:rPr>
        <w:t xml:space="preserve">Any public utility which does, causes to be done, or permits any act, matter, or thing prohibited or declared unlawful, or which omits to do any act, matter, or thing required to be done, either by the Constitution, any law of this State, or any order or decision of the commission, shall be liable to the persons or corporations affected thereby for all loss, damages, or injury caused thereby or resulting therefrom. An action to recover for such loss, damage, or injury may be brought in any court of competent jurisdiction by any corporation or person.</w:t>
      </w:r>
    </w:p>
    <w:p>
      <w:pPr>
        <w:spacing w:after="240" w:before="0" w:line="480"/>
        <w:ind w:firstLine="720"/>
        <w:jc w:val="both"/>
      </w:pPr>
      <w:r>
        <w:rPr>
          <w:rFonts w:ascii="Times New Roman" w:cs="Times New Roman" w:eastAsia="Times New Roman" w:hAnsi="Times New Roman"/>
          <w:sz w:val="24"/>
          <w:szCs w:val="24"/>
        </w:rPr>
        <w:t xml:space="preserve">(Pub. Util. Code, § 2106.)</w:t>
      </w:r>
    </w:p>
    <w:p>
      <w:pPr>
        <w:spacing w:after="240" w:before="0" w:line="480"/>
        <w:ind w:firstLine="720"/>
        <w:jc w:val="both"/>
      </w:pPr>
      <w:r>
        <w:rPr>
          <w:rFonts w:ascii="Times New Roman" w:cs="Times New Roman" w:eastAsia="Times New Roman" w:hAnsi="Times New Roman"/>
          <w:sz w:val="24"/>
          <w:szCs w:val="24"/>
        </w:rPr>
        <w:t xml:space="preserve">Section 2106 creates an independent statutory private right of action against public utilities, including charter party carriers operating under CPUC permits, for violations of statutes and Commission orders. The operative statutory chain is straightforward: section 5354 makes the driver's negligent driving the act of the TNC; the driver's negligent driving violates the Vehicle Code duty to drive with due regard for the safety of all persons using the highway, which is incorporated into the TNC's CPUC obligations through the General Orders applicable to TNC operations; and section 2106 provides the private right of action against the TNC for the resulting damages.</w:t>
      </w:r>
    </w:p>
    <w:p>
      <w:pPr>
        <w:spacing w:after="240" w:before="0" w:line="480"/>
        <w:ind w:firstLine="720"/>
        <w:jc w:val="both"/>
      </w:pPr>
      <w:r>
        <w:rPr>
          <w:rFonts w:ascii="Times New Roman" w:cs="Times New Roman" w:eastAsia="Times New Roman" w:hAnsi="Times New Roman"/>
          <w:sz w:val="24"/>
          <w:szCs w:val="24"/>
        </w:rPr>
        <w:t xml:space="preserve">Charter party carriers fall within section 2106's reach. (Pub. Util. Code, §§ 216, subd. (a), 5351 et seq.; Civ. Code, § 2168; </w:t>
      </w:r>
      <w:r>
        <w:rPr>
          <w:rFonts w:ascii="Times New Roman" w:cs="Times New Roman" w:eastAsia="Times New Roman" w:hAnsi="Times New Roman"/>
          <w:i/>
          <w:iCs/>
          <w:sz w:val="24"/>
          <w:szCs w:val="24"/>
        </w:rPr>
        <w:t xml:space="preserve">City and County of San Francisco v. Uber Technologies, Inc.</w:t>
      </w:r>
      <w:r>
        <w:rPr>
          <w:rFonts w:ascii="Times New Roman" w:cs="Times New Roman" w:eastAsia="Times New Roman" w:hAnsi="Times New Roman"/>
          <w:sz w:val="24"/>
          <w:szCs w:val="24"/>
        </w:rPr>
        <w:t xml:space="preserve"> (2019) 36 Cal.App.5th 66, 76 [recognizing that Uber is regulated by the CPUC].) The California Supreme Court confirmed that section 2106 provides a private right of action enforceable in any court of competent jurisdiction against utilities for failure to comply with state law or Commission orders. (</w:t>
      </w:r>
      <w:r>
        <w:rPr>
          <w:rFonts w:ascii="Times New Roman" w:cs="Times New Roman" w:eastAsia="Times New Roman" w:hAnsi="Times New Roman"/>
          <w:i/>
          <w:iCs/>
          <w:sz w:val="24"/>
          <w:szCs w:val="24"/>
        </w:rPr>
        <w:t xml:space="preserve">San Diego Gas &amp; Elec. Co. v. Superior Court</w:t>
      </w:r>
      <w:r>
        <w:rPr>
          <w:rFonts w:ascii="Times New Roman" w:cs="Times New Roman" w:eastAsia="Times New Roman" w:hAnsi="Times New Roman"/>
          <w:sz w:val="24"/>
          <w:szCs w:val="24"/>
        </w:rPr>
        <w:t xml:space="preserve"> (1996) 13 Cal.4th 893, 914.) </w:t>
      </w:r>
      <w:r>
        <w:rPr>
          <w:rFonts w:ascii="Times New Roman" w:cs="Times New Roman" w:eastAsia="Times New Roman" w:hAnsi="Times New Roman"/>
          <w:i/>
          <w:iCs/>
          <w:sz w:val="24"/>
          <w:szCs w:val="24"/>
        </w:rPr>
        <w:t xml:space="preserve">Goncharov</w:t>
      </w:r>
      <w:r>
        <w:rPr>
          <w:rFonts w:ascii="Times New Roman" w:cs="Times New Roman" w:eastAsia="Times New Roman" w:hAnsi="Times New Roman"/>
          <w:sz w:val="24"/>
          <w:szCs w:val="24"/>
        </w:rPr>
        <w:t xml:space="preserve"> itself recognized this framework, addressing the merits of section 2106 claims and dismissing them only because the specific claims at issue would have intruded on the CPUC's then-pending TNC rulemaking, a limitation that does not apply where, as here, the CPUC proceedings governing TNC obligations are completed regulatory determinations. (</w:t>
      </w:r>
      <w:r>
        <w:rPr>
          <w:rFonts w:ascii="Times New Roman" w:cs="Times New Roman" w:eastAsia="Times New Roman" w:hAnsi="Times New Roman"/>
          <w:i/>
          <w:iCs/>
          <w:sz w:val="24"/>
          <w:szCs w:val="24"/>
        </w:rPr>
        <w:t xml:space="preserve">Goncharov</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 xml:space="preserve">supra</w:t>
      </w:r>
      <w:r>
        <w:rPr>
          <w:rFonts w:ascii="Times New Roman" w:cs="Times New Roman" w:eastAsia="Times New Roman" w:hAnsi="Times New Roman"/>
          <w:sz w:val="24"/>
          <w:szCs w:val="24"/>
        </w:rPr>
        <w:t xml:space="preserve">, 19 Cal.App.5th at pp. 1170-1175.)</w:t>
      </w:r>
    </w:p>
    <w:p>
      <w:pPr>
        <w:spacing w:after="120" w:before="240" w:line="360"/>
        <w:ind w:left="0"/>
        <w:jc w:val="left"/>
      </w:pPr>
      <w:r>
        <w:rPr>
          <w:rFonts w:ascii="Times New Roman" w:cs="Times New Roman" w:eastAsia="Times New Roman" w:hAnsi="Times New Roman"/>
          <w:b/>
          <w:bCs/>
          <w:sz w:val="24"/>
          <w:szCs w:val="24"/>
        </w:rPr>
        <w:t xml:space="preserve">F.   Proposition 22 Did Not Amend, Repeal, or Reference Section 5354.</w:t>
      </w:r>
    </w:p>
    <w:p>
      <w:pPr>
        <w:spacing w:after="240" w:before="0" w:line="480"/>
        <w:ind w:firstLine="720"/>
        <w:jc w:val="both"/>
      </w:pPr>
      <w:r>
        <w:rPr>
          <w:rFonts w:ascii="Times New Roman" w:cs="Times New Roman" w:eastAsia="Times New Roman" w:hAnsi="Times New Roman"/>
          <w:sz w:val="24"/>
          <w:szCs w:val="24"/>
        </w:rPr>
        <w:t xml:space="preserve">Proposition 22 did not amend, repeal, or even reference the Public Utilities Code. Section 7451 enumerates only the Labor Code, the Unemployment Insurance Code, and Department of Industrial Relations orders. The absence of any reference to the carrier responsibility framework prevents any argument that Proposition 22 implicitly repealed section 5354's imputation rule. The presumption against implied repeal is "so strong that, to overcome the presumption the two acts must be irreconcilable, clearly repugnant, and so inconsistent that the two cannot have concurrent operation." (</w:t>
      </w:r>
      <w:r>
        <w:rPr>
          <w:rFonts w:ascii="Times New Roman" w:cs="Times New Roman" w:eastAsia="Times New Roman" w:hAnsi="Times New Roman"/>
          <w:i/>
          <w:iCs/>
          <w:sz w:val="24"/>
          <w:szCs w:val="24"/>
        </w:rPr>
        <w:t xml:space="preserve">Stop Youth Addiction, Inc. v. Lucky Stores, Inc.</w:t>
      </w:r>
      <w:r>
        <w:rPr>
          <w:rFonts w:ascii="Times New Roman" w:cs="Times New Roman" w:eastAsia="Times New Roman" w:hAnsi="Times New Roman"/>
          <w:sz w:val="24"/>
          <w:szCs w:val="24"/>
        </w:rPr>
        <w:t xml:space="preserve"> (1998) 17 Cal.4th 553, 570.) All presumptions "are against a repeal by implication." (</w:t>
      </w:r>
      <w:r>
        <w:rPr>
          <w:rFonts w:ascii="Times New Roman" w:cs="Times New Roman" w:eastAsia="Times New Roman" w:hAnsi="Times New Roman"/>
          <w:i/>
          <w:iCs/>
          <w:sz w:val="24"/>
          <w:szCs w:val="24"/>
        </w:rPr>
        <w:t xml:space="preserve">Pacific Palisades Bowl Mobile Estates, LLC v. City of Los Angeles</w:t>
      </w:r>
      <w:r>
        <w:rPr>
          <w:rFonts w:ascii="Times New Roman" w:cs="Times New Roman" w:eastAsia="Times New Roman" w:hAnsi="Times New Roman"/>
          <w:sz w:val="24"/>
          <w:szCs w:val="24"/>
        </w:rPr>
        <w:t xml:space="preserve"> (2012) 55 Cal.4th 783, 805.) Section 7451 classifies drivers for employment purposes; section 5354 imputes driver conduct to permit holders for public safety purposes. They operate in entirely different spheres.</w:t>
      </w:r>
    </w:p>
    <w:p>
      <w:pPr>
        <w:spacing w:after="120" w:before="240" w:line="360"/>
        <w:ind w:left="0"/>
        <w:jc w:val="left"/>
      </w:pPr>
      <w:r>
        <w:rPr>
          <w:rFonts w:ascii="Times New Roman" w:cs="Times New Roman" w:eastAsia="Times New Roman" w:hAnsi="Times New Roman"/>
          <w:b/>
          <w:bCs/>
          <w:sz w:val="24"/>
          <w:szCs w:val="24"/>
        </w:rPr>
        <w:t xml:space="preserve">G.   The TNC's "Regulatory Only" Argument Fails.</w:t>
      </w:r>
    </w:p>
    <w:p>
      <w:pPr>
        <w:spacing w:after="240" w:before="0" w:line="480"/>
        <w:ind w:firstLine="720"/>
        <w:jc w:val="both"/>
      </w:pPr>
      <w:r>
        <w:rPr>
          <w:rFonts w:ascii="Times New Roman" w:cs="Times New Roman" w:eastAsia="Times New Roman" w:hAnsi="Times New Roman"/>
          <w:sz w:val="24"/>
          <w:szCs w:val="24"/>
        </w:rPr>
        <w:t xml:space="preserve">The TNC's principal authority for its claim that section 5354 "does not apply to tort claims" is </w:t>
      </w:r>
      <w:r>
        <w:rPr>
          <w:rFonts w:ascii="Times New Roman" w:cs="Times New Roman" w:eastAsia="Times New Roman" w:hAnsi="Times New Roman"/>
          <w:i/>
          <w:iCs/>
          <w:sz w:val="24"/>
          <w:szCs w:val="24"/>
        </w:rPr>
        <w:t xml:space="preserve">Pears v. Lyft, Inc.</w:t>
      </w:r>
      <w:r>
        <w:rPr>
          <w:rFonts w:ascii="Times New Roman" w:cs="Times New Roman" w:eastAsia="Times New Roman" w:hAnsi="Times New Roman"/>
          <w:sz w:val="24"/>
          <w:szCs w:val="24"/>
        </w:rPr>
        <w:t xml:space="preserve"> (Super. Ct. L.A. County, Oct. 28, 2021) 2021 WL 6619756, an unpublished superior court order with no precedential value. </w:t>
      </w:r>
      <w:r>
        <w:rPr>
          <w:rFonts w:ascii="Times New Roman" w:cs="Times New Roman" w:eastAsia="Times New Roman" w:hAnsi="Times New Roman"/>
          <w:i/>
          <w:iCs/>
          <w:sz w:val="24"/>
          <w:szCs w:val="24"/>
        </w:rPr>
        <w:t xml:space="preserve">Pears</w:t>
      </w:r>
      <w:r>
        <w:rPr>
          <w:rFonts w:ascii="Times New Roman" w:cs="Times New Roman" w:eastAsia="Times New Roman" w:hAnsi="Times New Roman"/>
          <w:sz w:val="24"/>
          <w:szCs w:val="24"/>
        </w:rPr>
        <w:t xml:space="preserve"> binds no court, and that the TNC must reach to an unpublished trial court order as its principal authority on section 5354 underscores the absence of any published decision supporting its position. </w:t>
      </w:r>
      <w:r>
        <w:rPr>
          <w:rFonts w:ascii="Times New Roman" w:cs="Times New Roman" w:eastAsia="Times New Roman" w:hAnsi="Times New Roman"/>
          <w:i/>
          <w:iCs/>
          <w:sz w:val="24"/>
          <w:szCs w:val="24"/>
        </w:rPr>
        <w:t xml:space="preserve">Pears</w:t>
      </w:r>
      <w:r>
        <w:rPr>
          <w:rFonts w:ascii="Times New Roman" w:cs="Times New Roman" w:eastAsia="Times New Roman" w:hAnsi="Times New Roman"/>
          <w:sz w:val="24"/>
          <w:szCs w:val="24"/>
        </w:rPr>
        <w:t xml:space="preserve">'s central reasoning, that section 5354 applies only in CPUC enforcement proceedings because the chapter appears in a code division titled "Regulation of Related Businesses by the Public Utilities Commission," fails on multiple levels.</w:t>
      </w:r>
    </w:p>
    <w:p>
      <w:pPr>
        <w:spacing w:after="240" w:before="0" w:line="480"/>
        <w:ind w:firstLine="720"/>
        <w:jc w:val="both"/>
      </w:pPr>
      <w:r>
        <w:rPr>
          <w:rFonts w:ascii="Times New Roman" w:cs="Times New Roman" w:eastAsia="Times New Roman" w:hAnsi="Times New Roman"/>
          <w:sz w:val="24"/>
          <w:szCs w:val="24"/>
        </w:rPr>
        <w:t xml:space="preserve">First, a code division's title does not override the operative text of the statutes it contains. Section 5354 is a rule of statutory construction, and its text expressly contemplates two distinct functions: "construing and enforcing." Courts construe statutes; the CPUC enforces them. If the Legislature had intended to limit section 5354 to CPUC proceedings, it would have written "enforcing" alone. Second, chapter 8's "prescribed privileges and obligations" include the obligation to operate a charter party carrier service safely, an obligation that does not exist solely within CPUC proceedings but defines the terms on which permit holders operate every day, on public roads, carrying passengers. When a court adjudicates a tort claim arising from the carrier's authorized service, it is necessarily "construing . . . the provisions of this chapter relating to the prescribed privileges and obligations" of the permit holder. To hold that section 5354's imputation rule applies when the CPUC brings an enforcement action but vanishes when an injured member of the public brings a tort claim would mean the permit holder's responsibility for its drivers' conduct exists in theory but disappears in the context where it matters most.</w:t>
      </w:r>
    </w:p>
    <w:p>
      <w:pPr>
        <w:spacing w:after="240" w:before="0" w:line="480"/>
        <w:ind w:firstLine="720"/>
        <w:jc w:val="both"/>
      </w:pPr>
      <w:r>
        <w:rPr>
          <w:rFonts w:ascii="Times New Roman" w:cs="Times New Roman" w:eastAsia="Times New Roman" w:hAnsi="Times New Roman"/>
          <w:sz w:val="24"/>
          <w:szCs w:val="24"/>
        </w:rPr>
        <w:t xml:space="preserve">Third, reading section 5354 together with section 2106 confirms this conclusion. Section 2106 expressly grants a private right of action for damages to "any person" affected by a public utility's failure to comply with state law or Commission orders, enforceable in any court of competent jurisdiction. The Legislature thus designed a mechanism for courts, not merely the CPUC, to enforce these obligations in private civil suits. Interpreting section 5354's "construing" language to exclude judicial proceedings would render section 2106's private right of action a dead letter in the TNC context, because courts could never attribute the driver's conduct to the permit holder when adjudicating the very claims section 2106 authorizes. Fourth, even the </w:t>
      </w:r>
      <w:r>
        <w:rPr>
          <w:rFonts w:ascii="Times New Roman" w:cs="Times New Roman" w:eastAsia="Times New Roman" w:hAnsi="Times New Roman"/>
          <w:i/>
          <w:iCs/>
          <w:sz w:val="24"/>
          <w:szCs w:val="24"/>
        </w:rPr>
        <w:t xml:space="preserve">Pears</w:t>
      </w:r>
      <w:r>
        <w:rPr>
          <w:rFonts w:ascii="Times New Roman" w:cs="Times New Roman" w:eastAsia="Times New Roman" w:hAnsi="Times New Roman"/>
          <w:sz w:val="24"/>
          <w:szCs w:val="24"/>
        </w:rPr>
        <w:t xml:space="preserve"> court took judicial notice of CPUC Decision 13-09-045. Even a court that rejected the section 5354 imputation theory recognized the relevance of the underlying CPUC decision.</w:t>
      </w:r>
    </w:p>
    <w:p>
      <w:pPr>
        <w:spacing w:after="240" w:before="0" w:line="480"/>
        <w:ind w:firstLine="720"/>
        <w:jc w:val="both"/>
      </w:pPr>
      <w:r>
        <w:rPr>
          <w:rFonts w:ascii="Times New Roman" w:cs="Times New Roman" w:eastAsia="Times New Roman" w:hAnsi="Times New Roman"/>
          <w:sz w:val="24"/>
          <w:szCs w:val="24"/>
        </w:rPr>
        <w:t xml:space="preserve">Fifth, even if section 5354 alone did not create a freestanding tort cause of action, it informs the duty and standard of care analysis under Civil Code section 1714. A permit holder operating under a regulatory framework treating driver conduct as its own cannot disclaim responsibility when that driver injures a passenger. (See </w:t>
      </w:r>
      <w:r>
        <w:rPr>
          <w:rFonts w:ascii="Times New Roman" w:cs="Times New Roman" w:eastAsia="Times New Roman" w:hAnsi="Times New Roman"/>
          <w:i/>
          <w:iCs/>
          <w:sz w:val="24"/>
          <w:szCs w:val="24"/>
        </w:rPr>
        <w:t xml:space="preserve">Krongos v. Pacific Gas &amp; Electric Co.</w:t>
      </w:r>
      <w:r>
        <w:rPr>
          <w:rFonts w:ascii="Times New Roman" w:cs="Times New Roman" w:eastAsia="Times New Roman" w:hAnsi="Times New Roman"/>
          <w:sz w:val="24"/>
          <w:szCs w:val="24"/>
        </w:rPr>
        <w:t xml:space="preserve"> (1992) 7 Cal.App.4th 387, 395-397 [PUC regulation does not confer blanket tort immunity].)</w:t>
      </w:r>
    </w:p>
    <w:p>
      <w:pPr>
        <w:spacing w:after="120" w:before="240" w:line="360"/>
        <w:ind w:left="0"/>
        <w:jc w:val="left"/>
      </w:pPr>
      <w:r>
        <w:rPr>
          <w:rFonts w:ascii="Times New Roman" w:cs="Times New Roman" w:eastAsia="Times New Roman" w:hAnsi="Times New Roman"/>
          <w:b/>
          <w:bCs/>
          <w:sz w:val="24"/>
          <w:szCs w:val="24"/>
        </w:rPr>
        <w:t xml:space="preserve">H.   Section 1759 Does Not Preempt Passenger Tort Claims.</w:t>
      </w:r>
    </w:p>
    <w:p>
      <w:pPr>
        <w:spacing w:after="240" w:before="0" w:line="480"/>
        <w:ind w:firstLine="720"/>
        <w:jc w:val="both"/>
      </w:pPr>
      <w:r>
        <w:rPr>
          <w:rFonts w:ascii="Times New Roman" w:cs="Times New Roman" w:eastAsia="Times New Roman" w:hAnsi="Times New Roman"/>
          <w:sz w:val="24"/>
          <w:szCs w:val="24"/>
        </w:rPr>
        <w:t xml:space="preserve">The TNC's argument that Public Utilities Code section 1759 bars civil courts from determining TNC liability misconstrues both the statute and the nature of passenger tort claims. Section 1759 prohibits courts from issuing orders that "interfere with" the CPUC "in the performance of its official duties."</w:t>
      </w:r>
    </w:p>
    <w:p>
      <w:pPr>
        <w:spacing w:after="240" w:before="0" w:line="480"/>
        <w:ind w:firstLine="720"/>
        <w:jc w:val="both"/>
      </w:pPr>
      <w:r>
        <w:rPr>
          <w:rFonts w:ascii="Times New Roman" w:cs="Times New Roman" w:eastAsia="Times New Roman" w:hAnsi="Times New Roman"/>
          <w:sz w:val="24"/>
          <w:szCs w:val="24"/>
        </w:rPr>
        <w:t xml:space="preserve">The Supreme Court's three-part </w:t>
      </w:r>
      <w:r>
        <w:rPr>
          <w:rFonts w:ascii="Times New Roman" w:cs="Times New Roman" w:eastAsia="Times New Roman" w:hAnsi="Times New Roman"/>
          <w:i/>
          <w:iCs/>
          <w:sz w:val="24"/>
          <w:szCs w:val="24"/>
        </w:rPr>
        <w:t xml:space="preserve">Covalt</w:t>
      </w:r>
      <w:r>
        <w:rPr>
          <w:rFonts w:ascii="Times New Roman" w:cs="Times New Roman" w:eastAsia="Times New Roman" w:hAnsi="Times New Roman"/>
          <w:sz w:val="24"/>
          <w:szCs w:val="24"/>
        </w:rPr>
        <w:t xml:space="preserve"> test asks whether (1) the CPUC has authority to adopt a regulatory policy on the issue; (2) the CPUC has exercised that authority; and (3) the court action would hinder or interfere with the CPUC's exercise of its regulatory authority. (</w:t>
      </w:r>
      <w:r>
        <w:rPr>
          <w:rFonts w:ascii="Times New Roman" w:cs="Times New Roman" w:eastAsia="Times New Roman" w:hAnsi="Times New Roman"/>
          <w:i/>
          <w:iCs/>
          <w:sz w:val="24"/>
          <w:szCs w:val="24"/>
        </w:rPr>
        <w:t xml:space="preserve">San Diego Gas &amp; Elec. Co. v. Superior Court</w:t>
      </w:r>
      <w:r>
        <w:rPr>
          <w:rFonts w:ascii="Times New Roman" w:cs="Times New Roman" w:eastAsia="Times New Roman" w:hAnsi="Times New Roman"/>
          <w:sz w:val="24"/>
          <w:szCs w:val="24"/>
        </w:rPr>
        <w:t xml:space="preserve"> (1996) 13 Cal.4th 893, 923-935.) Court jurisdiction is precluded only if all three questions are answered affirmatively. (</w:t>
      </w:r>
      <w:r>
        <w:rPr>
          <w:rFonts w:ascii="Times New Roman" w:cs="Times New Roman" w:eastAsia="Times New Roman" w:hAnsi="Times New Roman"/>
          <w:i/>
          <w:iCs/>
          <w:sz w:val="24"/>
          <w:szCs w:val="24"/>
        </w:rPr>
        <w:t xml:space="preserve">City and County of San Francisco v. Uber Technologies, Inc.</w:t>
      </w:r>
      <w:r>
        <w:rPr>
          <w:rFonts w:ascii="Times New Roman" w:cs="Times New Roman" w:eastAsia="Times New Roman" w:hAnsi="Times New Roman"/>
          <w:sz w:val="24"/>
          <w:szCs w:val="24"/>
        </w:rPr>
        <w:t xml:space="preserve"> (2019) 36 Cal.App.5th 66, 79.)</w:t>
      </w:r>
    </w:p>
    <w:p>
      <w:pPr>
        <w:spacing w:after="240" w:before="0" w:line="480"/>
        <w:ind w:firstLine="720"/>
        <w:jc w:val="both"/>
      </w:pPr>
      <w:r>
        <w:rPr>
          <w:rFonts w:ascii="Times New Roman" w:cs="Times New Roman" w:eastAsia="Times New Roman" w:hAnsi="Times New Roman"/>
          <w:sz w:val="24"/>
          <w:szCs w:val="24"/>
        </w:rPr>
        <w:t xml:space="preserve">Here, applying CPUC Decision 13-09-045 that the TNC "should also be held responsible if the driver is negligent" enforces rather than hinders CPUC policy. Section 1759 "does not, however, confer immunity from civil suits on a private company merely because the company is regulated under the PUC's authority." (</w:t>
      </w:r>
      <w:r>
        <w:rPr>
          <w:rFonts w:ascii="Times New Roman" w:cs="Times New Roman" w:eastAsia="Times New Roman" w:hAnsi="Times New Roman"/>
          <w:i/>
          <w:iCs/>
          <w:sz w:val="24"/>
          <w:szCs w:val="24"/>
        </w:rPr>
        <w:t xml:space="preserve">City and County of San Francisco</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 xml:space="preserve">supra</w:t>
      </w:r>
      <w:r>
        <w:rPr>
          <w:rFonts w:ascii="Times New Roman" w:cs="Times New Roman" w:eastAsia="Times New Roman" w:hAnsi="Times New Roman"/>
          <w:sz w:val="24"/>
          <w:szCs w:val="24"/>
        </w:rPr>
        <w:t xml:space="preserve">, 36 Cal.App.5th at p. 77.) Courts regularly find that a failure to satisfy a duty set forth by the CPUC subjects the utility to liability in judicial proceedings for damages to those harmed by its negligence. (</w:t>
      </w:r>
      <w:r>
        <w:rPr>
          <w:rFonts w:ascii="Times New Roman" w:cs="Times New Roman" w:eastAsia="Times New Roman" w:hAnsi="Times New Roman"/>
          <w:i/>
          <w:iCs/>
          <w:sz w:val="24"/>
          <w:szCs w:val="24"/>
        </w:rPr>
        <w:t xml:space="preserve">Krongos v. Pacific Gas &amp; Electric Co.</w:t>
      </w:r>
      <w:r>
        <w:rPr>
          <w:rFonts w:ascii="Times New Roman" w:cs="Times New Roman" w:eastAsia="Times New Roman" w:hAnsi="Times New Roman"/>
          <w:sz w:val="24"/>
          <w:szCs w:val="24"/>
        </w:rPr>
        <w:t xml:space="preserve"> (1992) 7 Cal.App.4th 387, 395-397; </w:t>
      </w:r>
      <w:r>
        <w:rPr>
          <w:rFonts w:ascii="Times New Roman" w:cs="Times New Roman" w:eastAsia="Times New Roman" w:hAnsi="Times New Roman"/>
          <w:i/>
          <w:iCs/>
          <w:sz w:val="24"/>
          <w:szCs w:val="24"/>
        </w:rPr>
        <w:t xml:space="preserve">Mata v. Pacific Gas &amp; Elec. Co.</w:t>
      </w:r>
      <w:r>
        <w:rPr>
          <w:rFonts w:ascii="Times New Roman" w:cs="Times New Roman" w:eastAsia="Times New Roman" w:hAnsi="Times New Roman"/>
          <w:sz w:val="24"/>
          <w:szCs w:val="24"/>
        </w:rPr>
        <w:t xml:space="preserve"> (2014) 224 Cal.App.4th 309, 316-320 [tort action alleging utility failed to maintain safe conditions was "in aid of, rather than in derogation of, the PUC's jurisdiction"]; </w:t>
      </w:r>
      <w:r>
        <w:rPr>
          <w:rFonts w:ascii="Times New Roman" w:cs="Times New Roman" w:eastAsia="Times New Roman" w:hAnsi="Times New Roman"/>
          <w:i/>
          <w:iCs/>
          <w:sz w:val="24"/>
          <w:szCs w:val="24"/>
        </w:rPr>
        <w:t xml:space="preserve">Laabs v. Southern California Edison Co.</w:t>
      </w:r>
      <w:r>
        <w:rPr>
          <w:rFonts w:ascii="Times New Roman" w:cs="Times New Roman" w:eastAsia="Times New Roman" w:hAnsi="Times New Roman"/>
          <w:sz w:val="24"/>
          <w:szCs w:val="24"/>
        </w:rPr>
        <w:t xml:space="preserve"> (2009) 175 Cal.App.4th 1260, 1269-1271.)</w:t>
      </w:r>
    </w:p>
    <w:p>
      <w:pPr>
        <w:spacing w:after="240" w:before="0" w:line="480"/>
        <w:ind w:firstLine="720"/>
        <w:jc w:val="both"/>
      </w:pPr>
      <w:r>
        <w:rPr>
          <w:rFonts w:ascii="Times New Roman" w:cs="Times New Roman" w:eastAsia="Times New Roman" w:hAnsi="Times New Roman"/>
          <w:sz w:val="24"/>
          <w:szCs w:val="24"/>
        </w:rPr>
        <w:t xml:space="preserve">The CPUC has consistently recognized that employment classification is outside its domain. As the CPUC stated in </w:t>
      </w:r>
      <w:r>
        <w:rPr>
          <w:rFonts w:ascii="Times New Roman" w:cs="Times New Roman" w:eastAsia="Times New Roman" w:hAnsi="Times New Roman"/>
          <w:i/>
          <w:iCs/>
          <w:sz w:val="24"/>
          <w:szCs w:val="24"/>
        </w:rPr>
        <w:t xml:space="preserve">Kairy v. Supershuttle International, Inc.</w:t>
      </w:r>
      <w:r>
        <w:rPr>
          <w:rFonts w:ascii="Times New Roman" w:cs="Times New Roman" w:eastAsia="Times New Roman" w:hAnsi="Times New Roman"/>
          <w:sz w:val="24"/>
          <w:szCs w:val="24"/>
        </w:rPr>
        <w:t xml:space="preserve">, "whether or not a driver is an employee or independent contractor is not a matter addressed by the Commission." Far from undermining the section 5354 theory, this confirms it. Section 5354 operates through a different mechanism entirely: the permit relationship. The CPUC does not need to classify a driver as an employee to hold the permit holder responsible for that driver's conduct under section 5354, because the statute imputes liability based on the driver's status as a "person offering to afford the authorized service with the approval or consent of the permit holder."</w:t>
      </w:r>
    </w:p>
    <w:p>
      <w:pPr>
        <w:spacing w:after="240" w:before="0" w:line="480"/>
        <w:ind w:firstLine="720"/>
        <w:jc w:val="both"/>
      </w:pPr>
      <w:r>
        <w:rPr>
          <w:rFonts w:ascii="Times New Roman" w:cs="Times New Roman" w:eastAsia="Times New Roman" w:hAnsi="Times New Roman"/>
          <w:sz w:val="24"/>
          <w:szCs w:val="24"/>
        </w:rPr>
        <w:t xml:space="preserve">There is no pending CPUC proceeding on driver tort liability. CPUC Decision 23-06-041 confirmed that the lone remaining issue in Rulemaking 12-12-011 as of 2023 was the treatment of autonomous vehicles, entirely unrelated to driver tort liability. The TNC's reliance on </w:t>
      </w:r>
      <w:r>
        <w:rPr>
          <w:rFonts w:ascii="Times New Roman" w:cs="Times New Roman" w:eastAsia="Times New Roman" w:hAnsi="Times New Roman"/>
          <w:i/>
          <w:iCs/>
          <w:sz w:val="24"/>
          <w:szCs w:val="24"/>
        </w:rPr>
        <w:t xml:space="preserve">Goncharov</w:t>
      </w:r>
      <w:r>
        <w:rPr>
          <w:rFonts w:ascii="Times New Roman" w:cs="Times New Roman" w:eastAsia="Times New Roman" w:hAnsi="Times New Roman"/>
          <w:sz w:val="24"/>
          <w:szCs w:val="24"/>
        </w:rPr>
        <w:t xml:space="preserve"> is misplaced because that case involved claims that would have required the court to determine Uber's regulatory status during ongoing CPUC proceedings. Here, there is no such uncertainty. The TNC's status as a CPUC-permitted TNC is established; its permit conditions are final; and the CPUC decisions defining TNC obligations are completed regulatory determinations. A personal injury action seeking damages for driver negligence does not require the court to intrude on any pending CPUC proceeding or second-guess any ongoing regulatory determination. It requires only the application of existing law to established facts.</w:t>
      </w:r>
      <w:r>
        <w:rPr/>
        <w:t xml:space="preserve"> To be precise, </w:t>
      </w:r>
      <w:r>
        <w:rPr>
          <w:i/>
        </w:rPr>
        <w:t>Goncharov</w:t>
      </w:r>
      <w:r>
        <w:rPr/>
        <w:t xml:space="preserve"> addressed unfair-competition claims under Business and Professions Code section 17200 that would have required the trial court to second-guess the CPUC's then-pending determinations about whether Uber should be classified, regulated, and permitted as a TNC at all. A passenger personal-injury tort claim presents none of those concerns. The CPUC has long since completed its TNC rulemaking, the TNC's permit conditions are final, and the CPUC has expressly invited tort accountability for driver negligence in Decisions 13-09-045 and 14-04-022. Imposing tort liability under section 5354 enforces, rather than disturbs, the CPUC's regulatory program.</w:t>
      </w:r>
    </w:p>
    <w:p>
      <w:pPr>
        <w:spacing w:after="240" w:before="360" w:line="360"/>
        <w:jc w:val="center"/>
      </w:pPr>
      <w:r>
        <w:rPr>
          <w:rFonts w:ascii="Times New Roman" w:cs="Times New Roman" w:eastAsia="Times New Roman" w:hAnsi="Times New Roman"/>
          <w:b/>
          <w:bCs/>
          <w:sz w:val="24"/>
          <w:szCs w:val="24"/>
        </w:rPr>
        <w:t xml:space="preserve">IV.   NONDELEGABLE COMMON CARRIER DUTY UNDER CIVIL CODE SECTION 2100</w:t>
      </w:r>
    </w:p>
    <w:p>
      <w:pPr>
        <w:spacing w:after="240" w:before="0" w:line="480"/>
        <w:ind w:firstLine="720"/>
        <w:jc w:val="both"/>
      </w:pPr>
      <w:r>
        <w:rPr>
          <w:rFonts w:ascii="Times New Roman" w:cs="Times New Roman" w:eastAsia="Times New Roman" w:hAnsi="Times New Roman"/>
          <w:sz w:val="24"/>
          <w:szCs w:val="24"/>
        </w:rPr>
        <w:t xml:space="preserve">Independent of section 5354, the TNC's status as a charter party carrier imposes a nondelegable duty of utmost care that cannot be defeated by labeling drivers as independent contractors.</w:t>
      </w:r>
    </w:p>
    <w:p>
      <w:pPr>
        <w:spacing w:after="120" w:before="240" w:line="360"/>
        <w:ind w:left="0"/>
        <w:jc w:val="left"/>
      </w:pPr>
      <w:r>
        <w:rPr>
          <w:rFonts w:ascii="Times New Roman" w:cs="Times New Roman" w:eastAsia="Times New Roman" w:hAnsi="Times New Roman"/>
          <w:b/>
          <w:bCs/>
          <w:sz w:val="24"/>
          <w:szCs w:val="24"/>
        </w:rPr>
        <w:t xml:space="preserve">A.   The TNC Is a Common Carrier.</w:t>
      </w:r>
    </w:p>
    <w:p>
      <w:pPr>
        <w:spacing w:after="240" w:before="0" w:line="480"/>
        <w:ind w:firstLine="720"/>
        <w:jc w:val="both"/>
      </w:pPr>
      <w:r>
        <w:rPr>
          <w:rFonts w:ascii="Times New Roman" w:cs="Times New Roman" w:eastAsia="Times New Roman" w:hAnsi="Times New Roman"/>
          <w:sz w:val="24"/>
          <w:szCs w:val="24"/>
        </w:rPr>
        <w:t xml:space="preserve">Under Public Utilities Code section 211, a common carrier includes "every person and corporation providing transportation for compensation to or for the public or any portion thereof." A charter party carrier may operate "in common or contract carriage" (Pub. Util. Code, § 5360), and the distinction turns on whether the carrier acts "generally and for all persons indifferently." (</w:t>
      </w:r>
      <w:r>
        <w:rPr>
          <w:rFonts w:ascii="Times New Roman" w:cs="Times New Roman" w:eastAsia="Times New Roman" w:hAnsi="Times New Roman"/>
          <w:i/>
          <w:iCs/>
          <w:sz w:val="24"/>
          <w:szCs w:val="24"/>
        </w:rPr>
        <w:t xml:space="preserve">Webb v. Boyle</w:t>
      </w:r>
      <w:r>
        <w:rPr>
          <w:rFonts w:ascii="Times New Roman" w:cs="Times New Roman" w:eastAsia="Times New Roman" w:hAnsi="Times New Roman"/>
          <w:sz w:val="24"/>
          <w:szCs w:val="24"/>
        </w:rPr>
        <w:t xml:space="preserve"> (1932) 125 Cal.App. 326.) The Legislature declared TNCs to be "a new category of charter-party carriers." (Pub. Util. Code, § 5440, subd. (a).)</w:t>
      </w:r>
    </w:p>
    <w:p>
      <w:pPr>
        <w:spacing w:after="240" w:before="0" w:line="480"/>
        <w:ind w:firstLine="720"/>
        <w:jc w:val="both"/>
      </w:pPr>
      <w:r>
        <w:rPr>
          <w:rFonts w:ascii="Times New Roman" w:cs="Times New Roman" w:eastAsia="Times New Roman" w:hAnsi="Times New Roman"/>
          <w:sz w:val="24"/>
          <w:szCs w:val="24"/>
        </w:rPr>
        <w:t xml:space="preserve">The TNC's transportation services are available to any member of the public who downloads its application. There is no membership requirement, no screening of passengers, and the TNC charges standardized, algorithmically determined fares. Federal courts applying California law have repeatedly recognized that Uber meets the common carrier definition. (</w:t>
      </w:r>
      <w:r>
        <w:rPr>
          <w:rFonts w:ascii="Times New Roman" w:cs="Times New Roman" w:eastAsia="Times New Roman" w:hAnsi="Times New Roman"/>
          <w:i/>
          <w:iCs/>
          <w:sz w:val="24"/>
          <w:szCs w:val="24"/>
        </w:rPr>
        <w:t xml:space="preserve">Doe v. Uber Technologies, Inc.</w:t>
      </w:r>
      <w:r>
        <w:rPr>
          <w:rFonts w:ascii="Times New Roman" w:cs="Times New Roman" w:eastAsia="Times New Roman" w:hAnsi="Times New Roman"/>
          <w:sz w:val="24"/>
          <w:szCs w:val="24"/>
        </w:rPr>
        <w:t xml:space="preserve"> (N.D. Cal. 2016) 184 F.Supp.3d 774, 787 ["Plaintiffs have alleged sufficient facts to plausibly claim that Uber is a common carrier . . . Uber's services are available to the general public and . . . Uber charges customers standardized fees for car rides"]; </w:t>
      </w:r>
      <w:r>
        <w:rPr>
          <w:rFonts w:ascii="Times New Roman" w:cs="Times New Roman" w:eastAsia="Times New Roman" w:hAnsi="Times New Roman"/>
          <w:i/>
          <w:iCs/>
          <w:sz w:val="24"/>
          <w:szCs w:val="24"/>
        </w:rPr>
        <w:t xml:space="preserve">In re Uber Technologies, Inc., Passenger Sexual Assault Litigation</w:t>
      </w:r>
      <w:r>
        <w:rPr>
          <w:rFonts w:ascii="Times New Roman" w:cs="Times New Roman" w:eastAsia="Times New Roman" w:hAnsi="Times New Roman"/>
          <w:sz w:val="24"/>
          <w:szCs w:val="24"/>
        </w:rPr>
        <w:t xml:space="preserve"> (N.D. Cal. 2024) 745 F.Supp.3d 869.) The TNC statutory definition itself, providing "prearranged transportation services for compensation using an online-enabled application or platform to connect passengers with drivers" (Pub. Util. Code, § 5431, subd. (c)), directly mirrors the Civil Code section 2168 definition of common carriers. Taxicab companies, which provide an apt analogy to TNCs, are common carriers. (</w:t>
      </w:r>
      <w:r>
        <w:rPr>
          <w:rFonts w:ascii="Times New Roman" w:cs="Times New Roman" w:eastAsia="Times New Roman" w:hAnsi="Times New Roman"/>
          <w:i/>
          <w:iCs/>
          <w:sz w:val="24"/>
          <w:szCs w:val="24"/>
        </w:rPr>
        <w:t xml:space="preserve">Murray v. Uber Technologies, Inc.</w:t>
      </w:r>
      <w:r>
        <w:rPr>
          <w:rFonts w:ascii="Times New Roman" w:cs="Times New Roman" w:eastAsia="Times New Roman" w:hAnsi="Times New Roman"/>
          <w:sz w:val="24"/>
          <w:szCs w:val="24"/>
        </w:rPr>
        <w:t xml:space="preserve"> (D. Mass. 2020) 486 F.Supp.3d 468, 475.) The TNC's services are far more "generally and indifferently available" than the limited availability of a casino shuttle bus or ski lift, both of which California courts have held to be common carriers. (</w:t>
      </w:r>
      <w:r>
        <w:rPr>
          <w:rFonts w:ascii="Times New Roman" w:cs="Times New Roman" w:eastAsia="Times New Roman" w:hAnsi="Times New Roman"/>
          <w:i/>
          <w:iCs/>
          <w:sz w:val="24"/>
          <w:szCs w:val="24"/>
        </w:rPr>
        <w:t xml:space="preserve">Huang v. The Bicycle Casino, Inc.</w:t>
      </w:r>
      <w:r>
        <w:rPr>
          <w:rFonts w:ascii="Times New Roman" w:cs="Times New Roman" w:eastAsia="Times New Roman" w:hAnsi="Times New Roman"/>
          <w:sz w:val="24"/>
          <w:szCs w:val="24"/>
        </w:rPr>
        <w:t xml:space="preserve"> (2016) 4 Cal.App.5th 329, 337; </w:t>
      </w:r>
      <w:r>
        <w:rPr>
          <w:rFonts w:ascii="Times New Roman" w:cs="Times New Roman" w:eastAsia="Times New Roman" w:hAnsi="Times New Roman"/>
          <w:i/>
          <w:iCs/>
          <w:sz w:val="24"/>
          <w:szCs w:val="24"/>
        </w:rPr>
        <w:t xml:space="preserve">Squaw Valley Ski Corp. v. Superior Court</w:t>
      </w:r>
      <w:r>
        <w:rPr>
          <w:rFonts w:ascii="Times New Roman" w:cs="Times New Roman" w:eastAsia="Times New Roman" w:hAnsi="Times New Roman"/>
          <w:sz w:val="24"/>
          <w:szCs w:val="24"/>
        </w:rPr>
        <w:t xml:space="preserve"> (1992) 2 Cal.App.4th 149.)</w:t>
      </w:r>
      <w:r>
        <w:rPr/>
        <w:t xml:space="preserve"> The federal MDL court overseeing the consolidated Uber passenger sexual assault litigation expressly held that Uber owes common-carrier duties to passengers under California law and that those duties are non-delegable. (See </w:t>
      </w:r>
      <w:r>
        <w:rPr>
          <w:i/>
        </w:rPr>
        <w:t>In re Uber Technologies, Inc., Passenger Sexual Assault Litigation</w:t>
      </w:r>
      <w:r>
        <w:rPr/>
        <w:t>, supra, 745 F.Supp.3d at pp. 893-895.)</w:t>
      </w:r>
    </w:p>
    <w:p>
      <w:pPr>
        <w:spacing w:after="120" w:before="240" w:line="360"/>
        <w:ind w:left="0"/>
        <w:jc w:val="left"/>
      </w:pPr>
      <w:r>
        <w:rPr>
          <w:rFonts w:ascii="Times New Roman" w:cs="Times New Roman" w:eastAsia="Times New Roman" w:hAnsi="Times New Roman"/>
          <w:b/>
          <w:bCs/>
          <w:sz w:val="24"/>
          <w:szCs w:val="24"/>
        </w:rPr>
        <w:t xml:space="preserve">B.   The Common Carrier Duty Is the Highest Standard of Care and Is Nondelegable.</w:t>
      </w:r>
    </w:p>
    <w:p>
      <w:pPr>
        <w:spacing w:after="240" w:before="0" w:line="480"/>
        <w:ind w:firstLine="720"/>
        <w:jc w:val="both"/>
      </w:pPr>
      <w:r>
        <w:rPr>
          <w:rFonts w:ascii="Times New Roman" w:cs="Times New Roman" w:eastAsia="Times New Roman" w:hAnsi="Times New Roman"/>
          <w:sz w:val="24"/>
          <w:szCs w:val="24"/>
        </w:rPr>
        <w:t xml:space="preserve">Common carriers "must use the highest care and the vigilance of a very cautious person" and must "do all that human care, vigilance, and foresight reasonably can do under the circumstances." (CACI 902; Civ. Code, § 2100.) This heightened standard attaches by operation of law and is nondelegable. "A nondelegable duty is a definite affirmative duty the law imposes on one by reason of his or her relationship with others. One cannot escape this duty by entrusting it to an independent contractor." (</w:t>
      </w:r>
      <w:r>
        <w:rPr>
          <w:rFonts w:ascii="Times New Roman" w:cs="Times New Roman" w:eastAsia="Times New Roman" w:hAnsi="Times New Roman"/>
          <w:i/>
          <w:iCs/>
          <w:sz w:val="24"/>
          <w:szCs w:val="24"/>
        </w:rPr>
        <w:t xml:space="preserve">Felmlee v. Falcon Cable TV</w:t>
      </w:r>
      <w:r>
        <w:rPr>
          <w:rFonts w:ascii="Times New Roman" w:cs="Times New Roman" w:eastAsia="Times New Roman" w:hAnsi="Times New Roman"/>
          <w:sz w:val="24"/>
          <w:szCs w:val="24"/>
        </w:rPr>
        <w:t xml:space="preserve"> (1995) 36 Cal.App.4th 1032, 1036; </w:t>
      </w:r>
      <w:r>
        <w:rPr>
          <w:rFonts w:ascii="Times New Roman" w:cs="Times New Roman" w:eastAsia="Times New Roman" w:hAnsi="Times New Roman"/>
          <w:i/>
          <w:iCs/>
          <w:sz w:val="24"/>
          <w:szCs w:val="24"/>
        </w:rPr>
        <w:t xml:space="preserve">Snyder v. Southern California Edison Co.</w:t>
      </w:r>
      <w:r>
        <w:rPr>
          <w:rFonts w:ascii="Times New Roman" w:cs="Times New Roman" w:eastAsia="Times New Roman" w:hAnsi="Times New Roman"/>
          <w:sz w:val="24"/>
          <w:szCs w:val="24"/>
        </w:rPr>
        <w:t xml:space="preserve"> (1955) 44 Cal.2d 793, 800.) "Nondelegable duties may arise when a statute provides specific safeguards or precautions to insure the safety of others." (</w:t>
      </w:r>
      <w:r>
        <w:rPr>
          <w:rFonts w:ascii="Times New Roman" w:cs="Times New Roman" w:eastAsia="Times New Roman" w:hAnsi="Times New Roman"/>
          <w:i/>
          <w:iCs/>
          <w:sz w:val="24"/>
          <w:szCs w:val="24"/>
        </w:rPr>
        <w:t xml:space="preserve">Felmlee</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 xml:space="preserve">supra</w:t>
      </w:r>
      <w:r>
        <w:rPr>
          <w:rFonts w:ascii="Times New Roman" w:cs="Times New Roman" w:eastAsia="Times New Roman" w:hAnsi="Times New Roman"/>
          <w:sz w:val="24"/>
          <w:szCs w:val="24"/>
        </w:rPr>
        <w:t xml:space="preserve">, 36 Cal.App.4th at p. 1039.)</w:t>
      </w:r>
    </w:p>
    <w:p>
      <w:pPr>
        <w:spacing w:after="240" w:before="0" w:line="480"/>
        <w:ind w:firstLine="720"/>
        <w:jc w:val="both"/>
      </w:pPr>
      <w:r>
        <w:rPr>
          <w:rFonts w:ascii="Times New Roman" w:cs="Times New Roman" w:eastAsia="Times New Roman" w:hAnsi="Times New Roman"/>
          <w:sz w:val="24"/>
          <w:szCs w:val="24"/>
        </w:rPr>
        <w:t xml:space="preserve">The Supreme Court applied this principle to highway common carriers regulated by the CPUC in </w:t>
      </w:r>
      <w:r>
        <w:rPr>
          <w:rFonts w:ascii="Times New Roman" w:cs="Times New Roman" w:eastAsia="Times New Roman" w:hAnsi="Times New Roman"/>
          <w:i/>
          <w:iCs/>
          <w:sz w:val="24"/>
          <w:szCs w:val="24"/>
        </w:rPr>
        <w:t xml:space="preserve">Eli v. Murphy</w:t>
      </w:r>
      <w:r>
        <w:rPr>
          <w:rFonts w:ascii="Times New Roman" w:cs="Times New Roman" w:eastAsia="Times New Roman" w:hAnsi="Times New Roman"/>
          <w:sz w:val="24"/>
          <w:szCs w:val="24"/>
        </w:rPr>
        <w:t xml:space="preserve"> (1952) 39 Cal.2d 598, holding that such a carrier could not delegate its duties to an independent contractor so as to escape liability for the contractor's negligence. The Court reasoned that "[t]he effectiveness of safety regulations is necessarily impaired if a carrier conducts its business by engaging independent contractors over whom it exercises no control. If by the same device it could escape liability for the negligent conduct of its contractors, not only would the incentive for careful supervision of its business be reduced, but members of the public who are injured would be deprived of the financial responsibility of those who had been granted the privilege of conducting their business over the public highways." (</w:t>
      </w:r>
      <w:r>
        <w:rPr>
          <w:rFonts w:ascii="Times New Roman" w:cs="Times New Roman" w:eastAsia="Times New Roman" w:hAnsi="Times New Roman"/>
          <w:i/>
          <w:iCs/>
          <w:sz w:val="24"/>
          <w:szCs w:val="24"/>
        </w:rPr>
        <w:t xml:space="preserve">Id.</w:t>
      </w:r>
      <w:r>
        <w:rPr>
          <w:rFonts w:ascii="Times New Roman" w:cs="Times New Roman" w:eastAsia="Times New Roman" w:hAnsi="Times New Roman"/>
          <w:sz w:val="24"/>
          <w:szCs w:val="24"/>
        </w:rPr>
        <w:t xml:space="preserve"> at p. 600.) The Court concluded that "both to protect the public from financially irresponsible contractors, and to strengthen safety regulations, it is necessary to treat the carrier's duties as nondelegable." (</w:t>
      </w:r>
      <w:r>
        <w:rPr>
          <w:rFonts w:ascii="Times New Roman" w:cs="Times New Roman" w:eastAsia="Times New Roman" w:hAnsi="Times New Roman"/>
          <w:i/>
          <w:iCs/>
          <w:sz w:val="24"/>
          <w:szCs w:val="24"/>
        </w:rPr>
        <w:t xml:space="preserve">Ibid.</w:t>
      </w:r>
      <w:r>
        <w:rPr>
          <w:rFonts w:ascii="Times New Roman" w:cs="Times New Roman" w:eastAsia="Times New Roman" w:hAnsi="Times New Roman"/>
          <w:sz w:val="24"/>
          <w:szCs w:val="24"/>
        </w:rPr>
        <w:t xml:space="preserve">)</w:t>
      </w:r>
    </w:p>
    <w:p>
      <w:pPr>
        <w:spacing w:after="240" w:before="0" w:line="480"/>
        <w:ind w:firstLine="720"/>
        <w:jc w:val="both"/>
      </w:pPr>
      <w:r>
        <w:rPr>
          <w:rFonts w:ascii="Times New Roman" w:cs="Times New Roman" w:eastAsia="Times New Roman" w:hAnsi="Times New Roman"/>
          <w:sz w:val="24"/>
          <w:szCs w:val="24"/>
        </w:rPr>
        <w:t xml:space="preserve">California courts have consistently extended this rule to other regulated motor carriers. (</w:t>
      </w:r>
      <w:r>
        <w:rPr>
          <w:rFonts w:ascii="Times New Roman" w:cs="Times New Roman" w:eastAsia="Times New Roman" w:hAnsi="Times New Roman"/>
          <w:i/>
          <w:iCs/>
          <w:sz w:val="24"/>
          <w:szCs w:val="24"/>
        </w:rPr>
        <w:t xml:space="preserve">Gamboa v. Conti Trucking, Inc.</w:t>
      </w:r>
      <w:r>
        <w:rPr>
          <w:rFonts w:ascii="Times New Roman" w:cs="Times New Roman" w:eastAsia="Times New Roman" w:hAnsi="Times New Roman"/>
          <w:sz w:val="24"/>
          <w:szCs w:val="24"/>
        </w:rPr>
        <w:t xml:space="preserve"> (1993) 19 Cal.App.4th 663, 666-668; </w:t>
      </w:r>
      <w:r>
        <w:rPr>
          <w:rFonts w:ascii="Times New Roman" w:cs="Times New Roman" w:eastAsia="Times New Roman" w:hAnsi="Times New Roman"/>
          <w:i/>
          <w:iCs/>
          <w:sz w:val="24"/>
          <w:szCs w:val="24"/>
        </w:rPr>
        <w:t xml:space="preserve">Serna v. Pettey Leach Trucking, Inc.</w:t>
      </w:r>
      <w:r>
        <w:rPr>
          <w:rFonts w:ascii="Times New Roman" w:cs="Times New Roman" w:eastAsia="Times New Roman" w:hAnsi="Times New Roman"/>
          <w:sz w:val="24"/>
          <w:szCs w:val="24"/>
        </w:rPr>
        <w:t xml:space="preserve"> (2003) 110 Cal.App.4th 1475, 1486; </w:t>
      </w:r>
      <w:r>
        <w:rPr>
          <w:rFonts w:ascii="Times New Roman" w:cs="Times New Roman" w:eastAsia="Times New Roman" w:hAnsi="Times New Roman"/>
          <w:i/>
          <w:iCs/>
          <w:sz w:val="24"/>
          <w:szCs w:val="24"/>
        </w:rPr>
        <w:t xml:space="preserve">Vargas v. FMI, Inc.</w:t>
      </w:r>
      <w:r>
        <w:rPr>
          <w:rFonts w:ascii="Times New Roman" w:cs="Times New Roman" w:eastAsia="Times New Roman" w:hAnsi="Times New Roman"/>
          <w:sz w:val="24"/>
          <w:szCs w:val="24"/>
        </w:rPr>
        <w:t xml:space="preserve"> (2015) 233 Cal.App.4th 638, 644.) The principle is also captured in CACI 3713: a hirer cannot delegate a duty imposed by statute or regulation to an independent contractor. The TNC operates a "new category of charter-party carriers" under the same Public Utilities Code that regulated the carrier in </w:t>
      </w:r>
      <w:r>
        <w:rPr>
          <w:rFonts w:ascii="Times New Roman" w:cs="Times New Roman" w:eastAsia="Times New Roman" w:hAnsi="Times New Roman"/>
          <w:i/>
          <w:iCs/>
          <w:sz w:val="24"/>
          <w:szCs w:val="24"/>
        </w:rPr>
        <w:t xml:space="preserve">Eli</w:t>
      </w:r>
      <w:r>
        <w:rPr>
          <w:rFonts w:ascii="Times New Roman" w:cs="Times New Roman" w:eastAsia="Times New Roman" w:hAnsi="Times New Roman"/>
          <w:sz w:val="24"/>
          <w:szCs w:val="24"/>
        </w:rPr>
        <w:t xml:space="preserve">, subject to comparable safety obligations imposed by CPUC permit conditions. The TNC's duty of care to its passengers is nondelegable as a matter of law.</w:t>
      </w:r>
    </w:p>
    <w:p>
      <w:pPr>
        <w:spacing w:after="240" w:before="0" w:line="480"/>
        <w:ind w:firstLine="720"/>
        <w:jc w:val="both"/>
      </w:pPr>
      <w:r>
        <w:rPr>
          <w:rFonts w:ascii="Times New Roman" w:cs="Times New Roman" w:eastAsia="Times New Roman" w:hAnsi="Times New Roman"/>
          <w:sz w:val="24"/>
          <w:szCs w:val="24"/>
        </w:rPr>
        <w:t xml:space="preserve">Because the TNC is a common carrier, its duty of utmost care to passengers cannot be delegated to the driver as an independent contractor. When the driver's negligent driving injures a passenger, the TNC's nondelegable duty is breached as a matter of law. The independent contractor label is irrelevant.</w:t>
      </w:r>
    </w:p>
    <w:p>
      <w:pPr>
        <w:spacing w:after="240" w:before="360" w:line="360"/>
        <w:jc w:val="center"/>
      </w:pPr>
      <w:r>
        <w:rPr>
          <w:rFonts w:ascii="Times New Roman" w:cs="Times New Roman" w:eastAsia="Times New Roman" w:hAnsi="Times New Roman"/>
          <w:b/>
          <w:bCs/>
          <w:sz w:val="24"/>
          <w:szCs w:val="24"/>
        </w:rPr>
        <w:t xml:space="preserve">V.   DIRECT NEGLIGENCE UNDER CIVIL CODE SECTION 1714</w:t>
      </w:r>
    </w:p>
    <w:p>
      <w:pPr>
        <w:spacing w:after="240" w:before="0" w:line="480"/>
        <w:ind w:firstLine="720"/>
        <w:jc w:val="both"/>
      </w:pPr>
      <w:r>
        <w:rPr>
          <w:rFonts w:ascii="Times New Roman" w:cs="Times New Roman" w:eastAsia="Times New Roman" w:hAnsi="Times New Roman"/>
          <w:sz w:val="24"/>
          <w:szCs w:val="24"/>
        </w:rPr>
        <w:t xml:space="preserve">The next three theories target the TNC's own institutional conduct and make the driver's classification entirely irrelevant. They do not require any finding of employment, agency, or vicarious liability. Proposition 22 has no application to claims based on the TNC's own negligent conduct.</w:t>
      </w:r>
    </w:p>
    <w:p>
      <w:pPr>
        <w:spacing w:after="120" w:before="240" w:line="360"/>
        <w:ind w:left="0"/>
        <w:jc w:val="left"/>
      </w:pPr>
      <w:r>
        <w:rPr>
          <w:rFonts w:ascii="Times New Roman" w:cs="Times New Roman" w:eastAsia="Times New Roman" w:hAnsi="Times New Roman"/>
          <w:b/>
          <w:bCs/>
          <w:sz w:val="24"/>
          <w:szCs w:val="24"/>
        </w:rPr>
        <w:t xml:space="preserve">A.   The Section 1714 Framework.</w:t>
      </w:r>
    </w:p>
    <w:p>
      <w:pPr>
        <w:spacing w:after="240" w:before="0" w:line="480"/>
        <w:ind w:firstLine="720"/>
        <w:jc w:val="both"/>
      </w:pPr>
      <w:r>
        <w:rPr>
          <w:rFonts w:ascii="Times New Roman" w:cs="Times New Roman" w:eastAsia="Times New Roman" w:hAnsi="Times New Roman"/>
          <w:sz w:val="24"/>
          <w:szCs w:val="24"/>
        </w:rPr>
        <w:t xml:space="preserve">Civil Code section 1714, subdivision (a), establishes the default rule of duty in California: everyone is responsible for an injury occasioned to another by his or her want of ordinary care. (</w:t>
      </w:r>
      <w:r>
        <w:rPr>
          <w:rFonts w:ascii="Times New Roman" w:cs="Times New Roman" w:eastAsia="Times New Roman" w:hAnsi="Times New Roman"/>
          <w:i/>
          <w:iCs/>
          <w:sz w:val="24"/>
          <w:szCs w:val="24"/>
        </w:rPr>
        <w:t xml:space="preserve">Cabral v. Ralphs Grocery Co.</w:t>
      </w:r>
      <w:r>
        <w:rPr>
          <w:rFonts w:ascii="Times New Roman" w:cs="Times New Roman" w:eastAsia="Times New Roman" w:hAnsi="Times New Roman"/>
          <w:sz w:val="24"/>
          <w:szCs w:val="24"/>
        </w:rPr>
        <w:t xml:space="preserve"> (2011) 51 Cal.4th 764, 771.) This duty "imposes a general duty of care on a defendant only when it is the defendant who has 'created a risk' of harm to the plaintiff, including when 'the defendant is responsible for making the plaintiff's position worse.'" (</w:t>
      </w:r>
      <w:r>
        <w:rPr>
          <w:rFonts w:ascii="Times New Roman" w:cs="Times New Roman" w:eastAsia="Times New Roman" w:hAnsi="Times New Roman"/>
          <w:i/>
          <w:iCs/>
          <w:sz w:val="24"/>
          <w:szCs w:val="24"/>
        </w:rPr>
        <w:t xml:space="preserve">Kuciemba v. Victory Woodworks, Inc.</w:t>
      </w:r>
      <w:r>
        <w:rPr>
          <w:rFonts w:ascii="Times New Roman" w:cs="Times New Roman" w:eastAsia="Times New Roman" w:hAnsi="Times New Roman"/>
          <w:sz w:val="24"/>
          <w:szCs w:val="24"/>
        </w:rPr>
        <w:t xml:space="preserve"> (2023) 14 Cal.5th 993, 1011, quoting </w:t>
      </w:r>
      <w:r>
        <w:rPr>
          <w:rFonts w:ascii="Times New Roman" w:cs="Times New Roman" w:eastAsia="Times New Roman" w:hAnsi="Times New Roman"/>
          <w:i/>
          <w:iCs/>
          <w:sz w:val="24"/>
          <w:szCs w:val="24"/>
        </w:rPr>
        <w:t xml:space="preserve">Brown v. USA Taekwondo</w:t>
      </w:r>
      <w:r>
        <w:rPr>
          <w:rFonts w:ascii="Times New Roman" w:cs="Times New Roman" w:eastAsia="Times New Roman" w:hAnsi="Times New Roman"/>
          <w:sz w:val="24"/>
          <w:szCs w:val="24"/>
        </w:rPr>
        <w:t xml:space="preserve"> (2021) 11 Cal.5th 204, 214.)</w:t>
      </w:r>
    </w:p>
    <w:p>
      <w:pPr>
        <w:spacing w:after="240" w:before="0" w:line="480"/>
        <w:ind w:firstLine="720"/>
        <w:jc w:val="both"/>
      </w:pPr>
      <w:r>
        <w:rPr>
          <w:rFonts w:ascii="Times New Roman" w:cs="Times New Roman" w:eastAsia="Times New Roman" w:hAnsi="Times New Roman"/>
          <w:sz w:val="24"/>
          <w:szCs w:val="24"/>
        </w:rPr>
        <w:t xml:space="preserve">Where a defendant's own affirmative conduct creates an unreasonable risk of injury, the default duty of section 1714 applies, and the defendant bears the burden of establishing an exception under the factors identified in </w:t>
      </w:r>
      <w:r>
        <w:rPr>
          <w:rFonts w:ascii="Times New Roman" w:cs="Times New Roman" w:eastAsia="Times New Roman" w:hAnsi="Times New Roman"/>
          <w:i/>
          <w:iCs/>
          <w:sz w:val="24"/>
          <w:szCs w:val="24"/>
        </w:rPr>
        <w:t xml:space="preserve">Rowland v. Christian</w:t>
      </w:r>
      <w:r>
        <w:rPr>
          <w:rFonts w:ascii="Times New Roman" w:cs="Times New Roman" w:eastAsia="Times New Roman" w:hAnsi="Times New Roman"/>
          <w:sz w:val="24"/>
          <w:szCs w:val="24"/>
        </w:rPr>
        <w:t xml:space="preserve"> (1968) 69 Cal.2d 108. (</w:t>
      </w:r>
      <w:r>
        <w:rPr>
          <w:rFonts w:ascii="Times New Roman" w:cs="Times New Roman" w:eastAsia="Times New Roman" w:hAnsi="Times New Roman"/>
          <w:i/>
          <w:iCs/>
          <w:sz w:val="24"/>
          <w:szCs w:val="24"/>
        </w:rPr>
        <w:t xml:space="preserve">Kuciemba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 xml:space="preserve">supra</w:t>
      </w:r>
      <w:r>
        <w:rPr>
          <w:rFonts w:ascii="Times New Roman" w:cs="Times New Roman" w:eastAsia="Times New Roman" w:hAnsi="Times New Roman"/>
          <w:sz w:val="24"/>
          <w:szCs w:val="24"/>
        </w:rPr>
        <w:t xml:space="preserve">, 14 Cal.5th at p. 1013.) This framework does not require a special relationship between defendant and plaintiff, nor does it require that the third party's harmful conduct be a "necessary component" of the defendant's business. (</w:t>
      </w:r>
      <w:r>
        <w:rPr>
          <w:rFonts w:ascii="Times New Roman" w:cs="Times New Roman" w:eastAsia="Times New Roman" w:hAnsi="Times New Roman"/>
          <w:i/>
          <w:iCs/>
          <w:sz w:val="24"/>
          <w:szCs w:val="24"/>
        </w:rPr>
        <w:t xml:space="preserve">Id.</w:t>
      </w:r>
      <w:r>
        <w:rPr>
          <w:rFonts w:ascii="Times New Roman" w:cs="Times New Roman" w:eastAsia="Times New Roman" w:hAnsi="Times New Roman"/>
          <w:sz w:val="24"/>
          <w:szCs w:val="24"/>
        </w:rPr>
        <w:t xml:space="preserve"> at pp. 1012-1013.)</w:t>
      </w:r>
    </w:p>
    <w:p>
      <w:pPr>
        <w:spacing w:after="120" w:before="240" w:line="360"/>
        <w:ind w:left="0"/>
        <w:jc w:val="left"/>
      </w:pPr>
      <w:r>
        <w:rPr>
          <w:rFonts w:ascii="Times New Roman" w:cs="Times New Roman" w:eastAsia="Times New Roman" w:hAnsi="Times New Roman"/>
          <w:b/>
          <w:bCs/>
          <w:sz w:val="24"/>
          <w:szCs w:val="24"/>
        </w:rPr>
        <w:t xml:space="preserve">B.   The Ninth Circuit Has Confirmed That Uber Owes Riders a Duty of Care.</w:t>
      </w:r>
    </w:p>
    <w:p>
      <w:pPr>
        <w:spacing w:after="240" w:before="0" w:line="480"/>
        <w:ind w:firstLine="720"/>
        <w:jc w:val="both"/>
      </w:pPr>
      <w:r>
        <w:rPr>
          <w:rFonts w:ascii="Times New Roman" w:cs="Times New Roman" w:eastAsia="Times New Roman" w:hAnsi="Times New Roman"/>
          <w:sz w:val="24"/>
          <w:szCs w:val="24"/>
        </w:rPr>
        <w:t xml:space="preserve">The significance of </w:t>
      </w:r>
      <w:r>
        <w:rPr>
          <w:rFonts w:ascii="Times New Roman" w:cs="Times New Roman" w:eastAsia="Times New Roman" w:hAnsi="Times New Roman"/>
          <w:i/>
          <w:iCs/>
          <w:sz w:val="24"/>
          <w:szCs w:val="24"/>
        </w:rPr>
        <w:t xml:space="preserve">Kuciemba</w:t>
      </w:r>
      <w:r>
        <w:rPr>
          <w:rFonts w:ascii="Times New Roman" w:cs="Times New Roman" w:eastAsia="Times New Roman" w:hAnsi="Times New Roman"/>
          <w:sz w:val="24"/>
          <w:szCs w:val="24"/>
        </w:rPr>
        <w:t xml:space="preserve"> to TNC litigation was recognized by the Ninth Circuit in </w:t>
      </w:r>
      <w:r>
        <w:rPr>
          <w:rFonts w:ascii="Times New Roman" w:cs="Times New Roman" w:eastAsia="Times New Roman" w:hAnsi="Times New Roman"/>
          <w:i/>
          <w:iCs/>
          <w:sz w:val="24"/>
          <w:szCs w:val="24"/>
        </w:rPr>
        <w:t xml:space="preserve">Doe v. Uber Technologies, Inc.</w:t>
      </w:r>
      <w:r>
        <w:rPr>
          <w:rFonts w:ascii="Times New Roman" w:cs="Times New Roman" w:eastAsia="Times New Roman" w:hAnsi="Times New Roman"/>
          <w:sz w:val="24"/>
          <w:szCs w:val="24"/>
        </w:rPr>
        <w:t xml:space="preserve"> (9th Cir. 2024) 90 F.4th 946, a published certification order. The Ninth Circuit concluded that </w:t>
      </w:r>
      <w:r>
        <w:rPr>
          <w:rFonts w:ascii="Times New Roman" w:cs="Times New Roman" w:eastAsia="Times New Roman" w:hAnsi="Times New Roman"/>
          <w:i/>
          <w:iCs/>
          <w:sz w:val="24"/>
          <w:szCs w:val="24"/>
        </w:rPr>
        <w:t xml:space="preserve">Kuciemba</w:t>
      </w:r>
      <w:r>
        <w:rPr>
          <w:rFonts w:ascii="Times New Roman" w:cs="Times New Roman" w:eastAsia="Times New Roman" w:hAnsi="Times New Roman"/>
          <w:sz w:val="24"/>
          <w:szCs w:val="24"/>
        </w:rPr>
        <w:t xml:space="preserve"> "calls into question" whether the California Supreme Court would follow </w:t>
      </w:r>
      <w:r>
        <w:rPr>
          <w:rFonts w:ascii="Times New Roman" w:cs="Times New Roman" w:eastAsia="Times New Roman" w:hAnsi="Times New Roman"/>
          <w:i/>
          <w:iCs/>
          <w:sz w:val="24"/>
          <w:szCs w:val="24"/>
        </w:rPr>
        <w:t xml:space="preserve">Jane Doe No. 1 v. Uber Technologies, Inc.</w:t>
      </w:r>
      <w:r>
        <w:rPr>
          <w:rFonts w:ascii="Times New Roman" w:cs="Times New Roman" w:eastAsia="Times New Roman" w:hAnsi="Times New Roman"/>
          <w:sz w:val="24"/>
          <w:szCs w:val="24"/>
        </w:rPr>
        <w:t xml:space="preserve"> (2022) 79 Cal.App.5th 410, the only published California decision to have held that Uber owed no duty of care to riders. (</w:t>
      </w:r>
      <w:r>
        <w:rPr>
          <w:rFonts w:ascii="Times New Roman" w:cs="Times New Roman" w:eastAsia="Times New Roman" w:hAnsi="Times New Roman"/>
          <w:i/>
          <w:iCs/>
          <w:sz w:val="24"/>
          <w:szCs w:val="24"/>
        </w:rPr>
        <w:t xml:space="preserve">Doe</w:t>
      </w:r>
      <w:r>
        <w:rPr>
          <w:rFonts w:ascii="Times New Roman" w:cs="Times New Roman" w:eastAsia="Times New Roman" w:hAnsi="Times New Roman"/>
          <w:sz w:val="24"/>
          <w:szCs w:val="24"/>
        </w:rPr>
        <w:t xml:space="preserve">, 90 F.4th at p. 952.) The court found that </w:t>
      </w:r>
      <w:r>
        <w:rPr>
          <w:rFonts w:ascii="Times New Roman" w:cs="Times New Roman" w:eastAsia="Times New Roman" w:hAnsi="Times New Roman"/>
          <w:i/>
          <w:iCs/>
          <w:sz w:val="24"/>
          <w:szCs w:val="24"/>
        </w:rPr>
        <w:t xml:space="preserve">Jane Doe No. 1</w:t>
      </w:r>
      <w:r>
        <w:rPr>
          <w:rFonts w:ascii="Times New Roman" w:cs="Times New Roman" w:eastAsia="Times New Roman" w:hAnsi="Times New Roman"/>
          <w:sz w:val="24"/>
          <w:szCs w:val="24"/>
        </w:rPr>
        <w:t xml:space="preserve">'s "necessary component" test was "plainly inconsistent" with the California Supreme Court's analysis in </w:t>
      </w:r>
      <w:r>
        <w:rPr>
          <w:rFonts w:ascii="Times New Roman" w:cs="Times New Roman" w:eastAsia="Times New Roman" w:hAnsi="Times New Roman"/>
          <w:i/>
          <w:iCs/>
          <w:sz w:val="24"/>
          <w:szCs w:val="24"/>
        </w:rPr>
        <w:t xml:space="preserve">Kuciemba</w:t>
      </w:r>
      <w:r>
        <w:rPr>
          <w:rFonts w:ascii="Times New Roman" w:cs="Times New Roman" w:eastAsia="Times New Roman" w:hAnsi="Times New Roman"/>
          <w:sz w:val="24"/>
          <w:szCs w:val="24"/>
        </w:rPr>
        <w:t xml:space="preserve"> and prior decisions including </w:t>
      </w:r>
      <w:r>
        <w:rPr>
          <w:rFonts w:ascii="Times New Roman" w:cs="Times New Roman" w:eastAsia="Times New Roman" w:hAnsi="Times New Roman"/>
          <w:i/>
          <w:iCs/>
          <w:sz w:val="24"/>
          <w:szCs w:val="24"/>
        </w:rPr>
        <w:t xml:space="preserve">Lugtu v. California Highway Patrol</w:t>
      </w:r>
      <w:r>
        <w:rPr>
          <w:rFonts w:ascii="Times New Roman" w:cs="Times New Roman" w:eastAsia="Times New Roman" w:hAnsi="Times New Roman"/>
          <w:sz w:val="24"/>
          <w:szCs w:val="24"/>
        </w:rPr>
        <w:t xml:space="preserve"> (2001) 26 Cal.4th 703, where the Court held a defendant owed a duty of care when its affirmative conduct placed the plaintiff in a position of danger, even though the injury was ultimately inflicted by a negligent third party. (</w:t>
      </w:r>
      <w:r>
        <w:rPr>
          <w:rFonts w:ascii="Times New Roman" w:cs="Times New Roman" w:eastAsia="Times New Roman" w:hAnsi="Times New Roman"/>
          <w:i/>
          <w:iCs/>
          <w:sz w:val="24"/>
          <w:szCs w:val="24"/>
        </w:rPr>
        <w:t xml:space="preserve">Doe</w:t>
      </w:r>
      <w:r>
        <w:rPr>
          <w:rFonts w:ascii="Times New Roman" w:cs="Times New Roman" w:eastAsia="Times New Roman" w:hAnsi="Times New Roman"/>
          <w:sz w:val="24"/>
          <w:szCs w:val="24"/>
        </w:rPr>
        <w:t xml:space="preserve">, 90 F.4th at pp. 952-954.) The Ninth Circuit observed that it was "aware of no other California court that has followed [</w:t>
      </w:r>
      <w:r>
        <w:rPr>
          <w:rFonts w:ascii="Times New Roman" w:cs="Times New Roman" w:eastAsia="Times New Roman" w:hAnsi="Times New Roman"/>
          <w:i/>
          <w:iCs/>
          <w:sz w:val="24"/>
          <w:szCs w:val="24"/>
        </w:rPr>
        <w:t xml:space="preserve">Jane Doe No. 1</w:t>
      </w:r>
      <w:r>
        <w:rPr>
          <w:rFonts w:ascii="Times New Roman" w:cs="Times New Roman" w:eastAsia="Times New Roman" w:hAnsi="Times New Roman"/>
          <w:sz w:val="24"/>
          <w:szCs w:val="24"/>
        </w:rPr>
        <w:t xml:space="preserve">'s] reasoning." (</w:t>
      </w:r>
      <w:r>
        <w:rPr>
          <w:rFonts w:ascii="Times New Roman" w:cs="Times New Roman" w:eastAsia="Times New Roman" w:hAnsi="Times New Roman"/>
          <w:i/>
          <w:iCs/>
          <w:sz w:val="24"/>
          <w:szCs w:val="24"/>
        </w:rPr>
        <w:t xml:space="preserve">Id.</w:t>
      </w:r>
      <w:r>
        <w:rPr>
          <w:rFonts w:ascii="Times New Roman" w:cs="Times New Roman" w:eastAsia="Times New Roman" w:hAnsi="Times New Roman"/>
          <w:sz w:val="24"/>
          <w:szCs w:val="24"/>
        </w:rPr>
        <w:t xml:space="preserve"> at p. 953.)</w:t>
      </w:r>
      <w:r>
        <w:rPr/>
        <w:t xml:space="preserve"> The only published California state appellate decision to address </w:t>
      </w:r>
      <w:r>
        <w:rPr>
          <w:i/>
        </w:rPr>
        <w:t>Jane Doe No. 1</w:t>
      </w:r>
      <w:r>
        <w:rPr/>
        <w:t xml:space="preserve">'s reasoning since its issuance is </w:t>
      </w:r>
      <w:r>
        <w:rPr>
          <w:i/>
        </w:rPr>
        <w:t>Hacala v. Bird Rides, Inc.</w:t>
      </w:r>
      <w:r>
        <w:rPr/>
        <w:t xml:space="preserve"> (2023) 90 Cal.App.5th 292, 318, footnote 11, which observed that the court was "not convinced" the "necessary component" test is relevant to the duty inquiry. No published California decision has followed </w:t>
      </w:r>
      <w:r>
        <w:rPr>
          <w:i/>
        </w:rPr>
        <w:t>Jane Doe No. 1</w:t>
      </w:r>
      <w:r>
        <w:rPr/>
        <w:t>.</w:t>
      </w:r>
    </w:p>
    <w:p>
      <w:pPr>
        <w:spacing w:after="240" w:before="0" w:line="480"/>
        <w:ind w:firstLine="720"/>
        <w:jc w:val="both"/>
      </w:pPr>
      <w:r>
        <w:rPr>
          <w:rFonts w:ascii="Times New Roman" w:cs="Times New Roman" w:eastAsia="Times New Roman" w:hAnsi="Times New Roman"/>
          <w:sz w:val="24"/>
          <w:szCs w:val="24"/>
        </w:rPr>
        <w:t xml:space="preserve">After the California Supreme Court declined to accept certification, the Ninth Circuit issued a divided memorandum disposition in January 2025 (</w:t>
      </w:r>
      <w:r>
        <w:rPr>
          <w:rFonts w:ascii="Times New Roman" w:cs="Times New Roman" w:eastAsia="Times New Roman" w:hAnsi="Times New Roman"/>
          <w:i/>
          <w:iCs/>
          <w:sz w:val="24"/>
          <w:szCs w:val="24"/>
        </w:rPr>
        <w:t xml:space="preserve">Doe v. Uber Technologies, Inc.</w:t>
      </w:r>
      <w:r>
        <w:rPr>
          <w:rFonts w:ascii="Times New Roman" w:cs="Times New Roman" w:eastAsia="Times New Roman" w:hAnsi="Times New Roman"/>
          <w:sz w:val="24"/>
          <w:szCs w:val="24"/>
        </w:rPr>
        <w:t xml:space="preserve"> (9th Cir. Jan. 13, 2025) 2025 WL 80365), reversing summary judgment and concluding that, on the undisputed facts, Uber owed its app users a duty to exercise reasonable care regarding their safety, including a "duty not to expose others to an unreasonable risk of injury at the hands of third parties." The Ninth Circuit held that </w:t>
      </w:r>
      <w:r>
        <w:rPr>
          <w:rFonts w:ascii="Times New Roman" w:cs="Times New Roman" w:eastAsia="Times New Roman" w:hAnsi="Times New Roman"/>
          <w:i/>
          <w:iCs/>
          <w:sz w:val="24"/>
          <w:szCs w:val="24"/>
        </w:rPr>
        <w:t xml:space="preserve">Jane Doe No. 1</w:t>
      </w:r>
      <w:r>
        <w:rPr>
          <w:rFonts w:ascii="Times New Roman" w:cs="Times New Roman" w:eastAsia="Times New Roman" w:hAnsi="Times New Roman"/>
          <w:sz w:val="24"/>
          <w:szCs w:val="24"/>
        </w:rPr>
        <w:t xml:space="preserve"> is irreconcilable with the California Supreme Court's misfeasance framework in </w:t>
      </w:r>
      <w:r>
        <w:rPr>
          <w:rFonts w:ascii="Times New Roman" w:cs="Times New Roman" w:eastAsia="Times New Roman" w:hAnsi="Times New Roman"/>
          <w:i/>
          <w:iCs/>
          <w:sz w:val="24"/>
          <w:szCs w:val="24"/>
        </w:rPr>
        <w:t xml:space="preserve">Kuciemba</w:t>
      </w:r>
      <w:r>
        <w:rPr>
          <w:rFonts w:ascii="Times New Roman" w:cs="Times New Roman" w:eastAsia="Times New Roman" w:hAnsi="Times New Roman"/>
          <w:sz w:val="24"/>
          <w:szCs w:val="24"/>
        </w:rPr>
        <w:t xml:space="preserve"> and would not be followed by the California Supreme Court.</w:t>
      </w:r>
      <w:r>
        <w:rPr/>
        <w:t xml:space="preserve"> The January 13, 2025 amended memorandum disposition is unpublished and is cited here for its persuasive analysis under California Rules of Court, rule 8.1115(b). The Ninth Circuit's underlying published certification order, </w:t>
      </w:r>
      <w:r>
        <w:rPr>
          <w:i/>
        </w:rPr>
        <w:t>Doe v. Uber Technologies, Inc.</w:t>
      </w:r>
      <w:r>
        <w:rPr/>
        <w:t xml:space="preserve"> (9th Cir. 2024) 90 F.4th 946, retains full precedential weight for the proposition that </w:t>
      </w:r>
      <w:r>
        <w:rPr>
          <w:i/>
        </w:rPr>
        <w:t>Kuciemba</w:t>
      </w:r>
      <w:r>
        <w:rPr/>
        <w:t xml:space="preserve"> calls </w:t>
      </w:r>
      <w:r>
        <w:rPr>
          <w:i/>
        </w:rPr>
        <w:t>Jane Doe No. 1</w:t>
      </w:r>
      <w:r>
        <w:rPr/>
        <w:t xml:space="preserve"> into question. The Ninth Circuit denied panel rehearing and rehearing en banc, and the United States Supreme Court denied Uber’s consolidated petition for certiorari on October 6, 2025. (</w:t>
      </w:r>
      <w:r>
        <w:rPr>
          <w:i/>
        </w:rPr>
        <w:t>Uber Technologies, Inc. v. Drammeh</w:t>
      </w:r>
      <w:r>
        <w:rPr/>
        <w:t>, No. 24-1020.)</w:t>
      </w:r>
    </w:p>
    <w:p>
      <w:pPr>
        <w:spacing w:after="240" w:before="0" w:line="480"/>
        <w:ind w:firstLine="720"/>
        <w:jc w:val="both"/>
      </w:pPr>
      <w:r>
        <w:rPr>
          <w:rFonts w:ascii="Times New Roman" w:cs="Times New Roman" w:eastAsia="Times New Roman" w:hAnsi="Times New Roman"/>
          <w:sz w:val="24"/>
          <w:szCs w:val="24"/>
        </w:rPr>
        <w:t xml:space="preserve">The case for duty in a passenger negligence action is far stronger than in </w:t>
      </w:r>
      <w:r>
        <w:rPr>
          <w:rFonts w:ascii="Times New Roman" w:cs="Times New Roman" w:eastAsia="Times New Roman" w:hAnsi="Times New Roman"/>
          <w:i/>
          <w:iCs/>
          <w:sz w:val="24"/>
          <w:szCs w:val="24"/>
        </w:rPr>
        <w:t xml:space="preserve">Doe</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 xml:space="preserve">Doe</w:t>
      </w:r>
      <w:r>
        <w:rPr>
          <w:rFonts w:ascii="Times New Roman" w:cs="Times New Roman" w:eastAsia="Times New Roman" w:hAnsi="Times New Roman"/>
          <w:sz w:val="24"/>
          <w:szCs w:val="24"/>
        </w:rPr>
        <w:t xml:space="preserve"> involved an imposter, an unauthorized user the TNC had no specific knowledge of. The Ninth Circuit nonetheless found a duty arose from the TNC's affirmative conduct in creating the risk of harm. Where the negligent driver was an authorized TNC driver with documented complaints of unsafe driving that the TNC had actual knowledge of and chose to ignore, the case for duty is overwhelming. If the TNC owes a duty of ordinary care to riders harmed by unauthorized imposters it did not know about, it certainly owes that same duty to riders injured by its own authorized drivers whose dangerous propensities it did know about and chose to disregard.</w:t>
      </w:r>
    </w:p>
    <w:p>
      <w:pPr>
        <w:spacing w:after="120" w:before="240" w:line="360"/>
        <w:ind w:left="0"/>
        <w:jc w:val="left"/>
      </w:pPr>
      <w:r>
        <w:rPr>
          <w:rFonts w:ascii="Times New Roman" w:cs="Times New Roman" w:eastAsia="Times New Roman" w:hAnsi="Times New Roman"/>
          <w:b/>
          <w:bCs/>
          <w:sz w:val="24"/>
          <w:szCs w:val="24"/>
        </w:rPr>
        <w:t xml:space="preserve">C.   The TNC's Affirmative Conduct Creates the Risk of Harm.</w:t>
      </w:r>
    </w:p>
    <w:p>
      <w:pPr>
        <w:spacing w:after="240" w:before="0" w:line="480"/>
        <w:ind w:firstLine="720"/>
        <w:jc w:val="both"/>
      </w:pPr>
      <w:r>
        <w:rPr>
          <w:rFonts w:ascii="Times New Roman" w:cs="Times New Roman" w:eastAsia="Times New Roman" w:hAnsi="Times New Roman"/>
          <w:sz w:val="24"/>
          <w:szCs w:val="24"/>
        </w:rPr>
        <w:t xml:space="preserve">The TNC's affirmative conduct in passenger injury cases is not a single act but a course of institutional decisions that, taken together, place the passenger in a vehicle with a driver the TNC knew or should have known to be dangerous. The relevant conduct typically includes: (1) retaining the driver on the platform despite documented complaints, low ratings, and accident history; (2) continuing to match the driver with riders despite prior motor vehicle incidents; (3) failing to investigate or meaningfully respond to rider complaints, despite having promised riders it would do so; (4) ignoring explicit rider requests to remove the driver from the platform; and (5) affirmatively selecting the driver through the TNC's algorithm and matching him to the plaintiff's ride request. The harm alleged would not have occurred absent the TNC's affirmative conduct in keeping the driver on the platform and matching him with the plaintiff.</w:t>
      </w:r>
    </w:p>
    <w:p>
      <w:pPr>
        <w:spacing w:after="240" w:before="0" w:line="480"/>
        <w:ind w:firstLine="720"/>
        <w:jc w:val="both"/>
      </w:pPr>
      <w:r>
        <w:rPr>
          <w:rFonts w:ascii="Times New Roman" w:cs="Times New Roman" w:eastAsia="Times New Roman" w:hAnsi="Times New Roman"/>
          <w:sz w:val="24"/>
          <w:szCs w:val="24"/>
        </w:rPr>
        <w:t xml:space="preserve">Under </w:t>
      </w:r>
      <w:r>
        <w:rPr>
          <w:rFonts w:ascii="Times New Roman" w:cs="Times New Roman" w:eastAsia="Times New Roman" w:hAnsi="Times New Roman"/>
          <w:i/>
          <w:iCs/>
          <w:sz w:val="24"/>
          <w:szCs w:val="24"/>
        </w:rPr>
        <w:t xml:space="preserve">Kuciemba</w:t>
      </w:r>
      <w:r>
        <w:rPr>
          <w:rFonts w:ascii="Times New Roman" w:cs="Times New Roman" w:eastAsia="Times New Roman" w:hAnsi="Times New Roman"/>
          <w:sz w:val="24"/>
          <w:szCs w:val="24"/>
        </w:rPr>
        <w:t xml:space="preserve">'s "created or contributed to risk" framework, a TNC's failure to enforce its own safety standards constitutes misfeasance, not mere nonfeasance. The TNC creates a complaint system but fails to act on the complaints it receives. It implements rating systems but fails to deactivate drivers with demonstrated safety issues. It markets itself as safe while keeping dangerous drivers on the platform. This theory targets the TNC's own conduct, its institutional decisions about safety program design and enforcement, independent of any vicarious liability for the driver's conduct.</w:t>
      </w:r>
    </w:p>
    <w:p>
      <w:pPr>
        <w:spacing w:after="120" w:before="240" w:line="360"/>
        <w:ind w:left="0"/>
        <w:jc w:val="left"/>
      </w:pPr>
      <w:r>
        <w:rPr>
          <w:rFonts w:ascii="Times New Roman" w:cs="Times New Roman" w:eastAsia="Times New Roman" w:hAnsi="Times New Roman"/>
          <w:b/>
          <w:bCs/>
          <w:sz w:val="24"/>
          <w:szCs w:val="24"/>
        </w:rPr>
        <w:t xml:space="preserve">D.   The Rowland Factors Support Imposing a Duty.</w:t>
      </w:r>
    </w:p>
    <w:p>
      <w:pPr>
        <w:spacing w:after="240" w:before="0" w:line="480"/>
        <w:ind w:firstLine="720"/>
        <w:jc w:val="both"/>
      </w:pPr>
      <w:r>
        <w:rPr>
          <w:rFonts w:ascii="Times New Roman" w:cs="Times New Roman" w:eastAsia="Times New Roman" w:hAnsi="Times New Roman"/>
          <w:sz w:val="24"/>
          <w:szCs w:val="24"/>
        </w:rPr>
        <w:t xml:space="preserve">Under </w:t>
      </w:r>
      <w:r>
        <w:rPr>
          <w:rFonts w:ascii="Times New Roman" w:cs="Times New Roman" w:eastAsia="Times New Roman" w:hAnsi="Times New Roman"/>
          <w:i/>
          <w:iCs/>
          <w:sz w:val="24"/>
          <w:szCs w:val="24"/>
        </w:rPr>
        <w:t xml:space="preserve">Rowland v. Christian</w:t>
      </w:r>
      <w:r>
        <w:rPr>
          <w:rFonts w:ascii="Times New Roman" w:cs="Times New Roman" w:eastAsia="Times New Roman" w:hAnsi="Times New Roman"/>
          <w:sz w:val="24"/>
          <w:szCs w:val="24"/>
        </w:rPr>
        <w:t xml:space="preserve"> (1968) 69 Cal.2d 108, courts consider whether policy factors warrant narrowing a duty of care. In the TNC context, every factor supports imposing a duty: foreseeability is overwhelming where the TNC has actual knowledge of unsafe driving; certainty of injury is high given that unsafe drivers are substantially more likely to cause motor vehicle incidents resulting in catastrophic injuries; the connection between conduct and injury is direct (the TNC's algorithm selected the driver despite his unsafe driving record); moral blame is substantial (the TNC knew of the driver's unsafe propensities, ignored explicit removal requests, and kept matching him with riders for profit); the burden of prevention is minimal (the TNC already has complaint tracking and deactivation systems and need only use them); insurance is available; and the policy of preventing future harm strongly favors imposing a duty. Requiring TNCs to actually enforce the safety monitoring systems they already have in place protects every rider who opens the app trusting that the TNC has done its job.</w:t>
      </w:r>
    </w:p>
    <w:p>
      <w:pPr>
        <w:spacing w:after="240" w:before="360" w:line="360"/>
        <w:jc w:val="center"/>
      </w:pPr>
      <w:r>
        <w:rPr>
          <w:rFonts w:ascii="Times New Roman" w:cs="Times New Roman" w:eastAsia="Times New Roman" w:hAnsi="Times New Roman"/>
          <w:b/>
          <w:bCs/>
          <w:sz w:val="24"/>
          <w:szCs w:val="24"/>
        </w:rPr>
        <w:t xml:space="preserve">VI.   NEGLIGENT RETENTION AND SUPERVISION UNDER CACI 426</w:t>
      </w:r>
    </w:p>
    <w:p>
      <w:pPr>
        <w:spacing w:after="240" w:before="0" w:line="480"/>
        <w:ind w:firstLine="720"/>
        <w:jc w:val="both"/>
      </w:pPr>
      <w:r>
        <w:rPr>
          <w:rFonts w:ascii="Times New Roman" w:cs="Times New Roman" w:eastAsia="Times New Roman" w:hAnsi="Times New Roman"/>
          <w:sz w:val="24"/>
          <w:szCs w:val="24"/>
        </w:rPr>
        <w:t xml:space="preserve">Under California negligent hiring, supervision, and retention law, a TNC may be liable where it knew or should have known that a driver became unfit and that unfitness created a particular risk to others. (CACI 426; </w:t>
      </w:r>
      <w:r>
        <w:rPr>
          <w:rFonts w:ascii="Times New Roman" w:cs="Times New Roman" w:eastAsia="Times New Roman" w:hAnsi="Times New Roman"/>
          <w:i/>
          <w:iCs/>
          <w:sz w:val="24"/>
          <w:szCs w:val="24"/>
        </w:rPr>
        <w:t xml:space="preserve">Noble v. Sears, Roebuck &amp; Co.</w:t>
      </w:r>
      <w:r>
        <w:rPr>
          <w:rFonts w:ascii="Times New Roman" w:cs="Times New Roman" w:eastAsia="Times New Roman" w:hAnsi="Times New Roman"/>
          <w:sz w:val="24"/>
          <w:szCs w:val="24"/>
        </w:rPr>
        <w:t xml:space="preserve"> (1973) 33 Cal.App.3d 654, 660-663.) </w:t>
      </w:r>
      <w:r>
        <w:rPr>
          <w:rFonts w:ascii="Times New Roman" w:cs="Times New Roman" w:eastAsia="Times New Roman" w:hAnsi="Times New Roman"/>
          <w:i/>
          <w:iCs/>
          <w:sz w:val="24"/>
          <w:szCs w:val="24"/>
        </w:rPr>
        <w:t xml:space="preserve">Noble</w:t>
      </w:r>
      <w:r>
        <w:rPr>
          <w:rFonts w:ascii="Times New Roman" w:cs="Times New Roman" w:eastAsia="Times New Roman" w:hAnsi="Times New Roman"/>
          <w:sz w:val="24"/>
          <w:szCs w:val="24"/>
        </w:rPr>
        <w:t xml:space="preserve"> held that "[w]here a corporation undertakes an activity involving possible danger to the public under a license or franchise granted by public authorities, these liabilities may not be evaded by delegating performance to an independent contractor." (</w:t>
      </w:r>
      <w:r>
        <w:rPr>
          <w:rFonts w:ascii="Times New Roman" w:cs="Times New Roman" w:eastAsia="Times New Roman" w:hAnsi="Times New Roman"/>
          <w:i/>
          <w:iCs/>
          <w:sz w:val="24"/>
          <w:szCs w:val="24"/>
        </w:rPr>
        <w:t xml:space="preserve">Id.</w:t>
      </w:r>
      <w:r>
        <w:rPr>
          <w:rFonts w:ascii="Times New Roman" w:cs="Times New Roman" w:eastAsia="Times New Roman" w:hAnsi="Times New Roman"/>
          <w:sz w:val="24"/>
          <w:szCs w:val="24"/>
        </w:rPr>
        <w:t xml:space="preserve"> at pp. 660-661, citing </w:t>
      </w:r>
      <w:r>
        <w:rPr>
          <w:rFonts w:ascii="Times New Roman" w:cs="Times New Roman" w:eastAsia="Times New Roman" w:hAnsi="Times New Roman"/>
          <w:i/>
          <w:iCs/>
          <w:sz w:val="24"/>
          <w:szCs w:val="24"/>
        </w:rPr>
        <w:t xml:space="preserve">Taylor v. Oakland Scavenger Co.</w:t>
      </w:r>
      <w:r>
        <w:rPr>
          <w:rFonts w:ascii="Times New Roman" w:cs="Times New Roman" w:eastAsia="Times New Roman" w:hAnsi="Times New Roman"/>
          <w:sz w:val="24"/>
          <w:szCs w:val="24"/>
        </w:rPr>
        <w:t xml:space="preserve"> (1941) 17 Cal.2d 594, 600-601.)</w:t>
      </w:r>
    </w:p>
    <w:p>
      <w:pPr>
        <w:spacing w:after="240" w:before="0" w:line="480"/>
        <w:ind w:firstLine="720"/>
        <w:jc w:val="both"/>
      </w:pPr>
      <w:r>
        <w:rPr>
          <w:rFonts w:ascii="Times New Roman" w:cs="Times New Roman" w:eastAsia="Times New Roman" w:hAnsi="Times New Roman"/>
          <w:sz w:val="24"/>
          <w:szCs w:val="24"/>
        </w:rPr>
        <w:t xml:space="preserve">This principle applies directly to TNCs, which operate under CPUC permits and undertake passenger transportation, an activity involving possible danger to the public. Under </w:t>
      </w:r>
      <w:r>
        <w:rPr>
          <w:rFonts w:ascii="Times New Roman" w:cs="Times New Roman" w:eastAsia="Times New Roman" w:hAnsi="Times New Roman"/>
          <w:i/>
          <w:iCs/>
          <w:sz w:val="24"/>
          <w:szCs w:val="24"/>
        </w:rPr>
        <w:t xml:space="preserve">Noble</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 xml:space="preserve">Taylor</w:t>
      </w:r>
      <w:r>
        <w:rPr>
          <w:rFonts w:ascii="Times New Roman" w:cs="Times New Roman" w:eastAsia="Times New Roman" w:hAnsi="Times New Roman"/>
          <w:sz w:val="24"/>
          <w:szCs w:val="24"/>
        </w:rPr>
        <w:t xml:space="preserve">, a TNC's liabilities for negligent retention may not be evaded by delegating performance to an independent contractor, regardless of how Proposition 22 classifies drivers for employment purposes.</w:t>
      </w:r>
    </w:p>
    <w:p>
      <w:pPr>
        <w:spacing w:after="240" w:before="0" w:line="480"/>
        <w:ind w:firstLine="720"/>
        <w:jc w:val="both"/>
      </w:pPr>
      <w:r>
        <w:rPr>
          <w:rFonts w:ascii="Times New Roman" w:cs="Times New Roman" w:eastAsia="Times New Roman" w:hAnsi="Times New Roman"/>
          <w:sz w:val="24"/>
          <w:szCs w:val="24"/>
        </w:rPr>
        <w:t xml:space="preserve">The negligent retention theory does not require that the driver's prior complaints involved the exact same mechanism as the subject collision. It requires that the TNC knew or should have known the driver was unfit and posed a risk to passengers. A documented pattern of complaints establishes unfitness regardless of whether the subject collision involved the specific reported behavior. Whether the driver is classified as an employee or independent contractor has no bearing on whether the TNC itself was negligent in retaining a driver it knew or should have known to be dangerous.</w:t>
      </w:r>
    </w:p>
    <w:p>
      <w:pPr>
        <w:spacing w:after="240" w:before="0" w:line="480"/>
        <w:ind w:firstLine="720"/>
        <w:jc w:val="both"/>
      </w:pPr>
      <w:r>
        <w:rPr>
          <w:rFonts w:ascii="Times New Roman" w:cs="Times New Roman" w:eastAsia="Times New Roman" w:hAnsi="Times New Roman"/>
          <w:sz w:val="24"/>
          <w:szCs w:val="24"/>
        </w:rPr>
        <w:t xml:space="preserve">This theory also draws additional support from </w:t>
      </w:r>
      <w:r>
        <w:rPr>
          <w:rFonts w:ascii="Times New Roman" w:cs="Times New Roman" w:eastAsia="Times New Roman" w:hAnsi="Times New Roman"/>
          <w:i/>
          <w:iCs/>
          <w:sz w:val="24"/>
          <w:szCs w:val="24"/>
        </w:rPr>
        <w:t xml:space="preserve">Hooker v. Department of Transportation</w:t>
      </w:r>
      <w:r>
        <w:rPr>
          <w:rFonts w:ascii="Times New Roman" w:cs="Times New Roman" w:eastAsia="Times New Roman" w:hAnsi="Times New Roman"/>
          <w:sz w:val="24"/>
          <w:szCs w:val="24"/>
        </w:rPr>
        <w:t xml:space="preserve"> (2002) 27 Cal.4th 198, which held that where a hirer's conduct "affirmatively contributed" to injury, liability is "direct in a much stronger sense" and not derivative of the contractor's negligence. The TNC's affirmative decision to continue matching a driver with a documented dangerous record constitutes precisely the type of affirmative contribution that creates direct hirer liability under </w:t>
      </w:r>
      <w:r>
        <w:rPr>
          <w:rFonts w:ascii="Times New Roman" w:cs="Times New Roman" w:eastAsia="Times New Roman" w:hAnsi="Times New Roman"/>
          <w:i/>
          <w:iCs/>
          <w:sz w:val="24"/>
          <w:szCs w:val="24"/>
        </w:rPr>
        <w:t xml:space="preserve">Hooker</w:t>
      </w:r>
      <w:r>
        <w:rPr>
          <w:rFonts w:ascii="Times New Roman" w:cs="Times New Roman" w:eastAsia="Times New Roman" w:hAnsi="Times New Roman"/>
          <w:sz w:val="24"/>
          <w:szCs w:val="24"/>
        </w:rPr>
        <w:t xml:space="preserve">. And although Restatement (Second) of Torts section 411 negligent selection of a contractor cannot be invoked by the contractor's own employee under </w:t>
      </w:r>
      <w:r>
        <w:rPr>
          <w:rFonts w:ascii="Times New Roman" w:cs="Times New Roman" w:eastAsia="Times New Roman" w:hAnsi="Times New Roman"/>
          <w:i/>
          <w:iCs/>
          <w:sz w:val="24"/>
          <w:szCs w:val="24"/>
        </w:rPr>
        <w:t xml:space="preserve">Camargo v. Tjaarda Dairy</w:t>
      </w:r>
      <w:r>
        <w:rPr>
          <w:rFonts w:ascii="Times New Roman" w:cs="Times New Roman" w:eastAsia="Times New Roman" w:hAnsi="Times New Roman"/>
          <w:sz w:val="24"/>
          <w:szCs w:val="24"/>
        </w:rPr>
        <w:t xml:space="preserve"> (2001) 25 Cal.4th 1235, the </w:t>
      </w:r>
      <w:r>
        <w:rPr>
          <w:rFonts w:ascii="Times New Roman" w:cs="Times New Roman" w:eastAsia="Times New Roman" w:hAnsi="Times New Roman"/>
          <w:i/>
          <w:iCs/>
          <w:sz w:val="24"/>
          <w:szCs w:val="24"/>
        </w:rPr>
        <w:t xml:space="preserve">Camargo</w:t>
      </w:r>
      <w:r>
        <w:rPr>
          <w:rFonts w:ascii="Times New Roman" w:cs="Times New Roman" w:eastAsia="Times New Roman" w:hAnsi="Times New Roman"/>
          <w:sz w:val="24"/>
          <w:szCs w:val="24"/>
        </w:rPr>
        <w:t xml:space="preserve"> bar applies only to a contractor's own employees, not to third parties. A passenger is precisely the type of third party section 411 was designed to protect, a member of the public who had no ability to evaluate the driver's competence and relied entirely on the TNC's selection.</w:t>
      </w:r>
    </w:p>
    <w:p>
      <w:pPr>
        <w:spacing w:after="240" w:before="360" w:line="360"/>
        <w:jc w:val="center"/>
      </w:pPr>
      <w:r>
        <w:rPr>
          <w:rFonts w:ascii="Times New Roman" w:cs="Times New Roman" w:eastAsia="Times New Roman" w:hAnsi="Times New Roman"/>
          <w:b/>
          <w:bCs/>
          <w:sz w:val="24"/>
          <w:szCs w:val="24"/>
        </w:rPr>
        <w:t xml:space="preserve">VII.   NEGLIGENT UNDERTAKING UNDER CACI 450 / RESTATEMENT § 324A</w:t>
      </w:r>
    </w:p>
    <w:p>
      <w:pPr>
        <w:spacing w:after="240" w:before="0" w:line="480"/>
        <w:ind w:firstLine="720"/>
        <w:jc w:val="both"/>
      </w:pPr>
      <w:r>
        <w:rPr>
          <w:rFonts w:ascii="Times New Roman" w:cs="Times New Roman" w:eastAsia="Times New Roman" w:hAnsi="Times New Roman"/>
          <w:sz w:val="24"/>
          <w:szCs w:val="24"/>
        </w:rPr>
        <w:t xml:space="preserve">Under CACI 450 and Restatement (Second) of Torts section 324A, one who voluntarily undertakes to render services to another may be liable for physical harm resulting from failure to exercise reasonable care. (</w:t>
      </w:r>
      <w:r>
        <w:rPr>
          <w:rFonts w:ascii="Times New Roman" w:cs="Times New Roman" w:eastAsia="Times New Roman" w:hAnsi="Times New Roman"/>
          <w:i/>
          <w:iCs/>
          <w:sz w:val="24"/>
          <w:szCs w:val="24"/>
        </w:rPr>
        <w:t xml:space="preserve">Artiglio v. Corning Inc.</w:t>
      </w:r>
      <w:r>
        <w:rPr>
          <w:rFonts w:ascii="Times New Roman" w:cs="Times New Roman" w:eastAsia="Times New Roman" w:hAnsi="Times New Roman"/>
          <w:sz w:val="24"/>
          <w:szCs w:val="24"/>
        </w:rPr>
        <w:t xml:space="preserve"> (1998) 18 Cal.4th 604, 613; </w:t>
      </w:r>
      <w:r>
        <w:rPr>
          <w:rFonts w:ascii="Times New Roman" w:cs="Times New Roman" w:eastAsia="Times New Roman" w:hAnsi="Times New Roman"/>
          <w:i/>
          <w:iCs/>
          <w:sz w:val="24"/>
          <w:szCs w:val="24"/>
        </w:rPr>
        <w:t xml:space="preserve">Paz v. State of California</w:t>
      </w:r>
      <w:r>
        <w:rPr>
          <w:rFonts w:ascii="Times New Roman" w:cs="Times New Roman" w:eastAsia="Times New Roman" w:hAnsi="Times New Roman"/>
          <w:sz w:val="24"/>
          <w:szCs w:val="24"/>
        </w:rPr>
        <w:t xml:space="preserve"> (2000) 22 Cal.4th 550.) Liability stems from the voluntary assumption of responsibility through specific undertakings. The elements are: (1) the defendant undertook to perform a task for another; (2) the defendant's undertaking was one it should have recognized as necessary for the protection of third persons; (3) the defendant failed to exercise reasonable care in performing the undertaking; and (4) the failure to exercise reasonable care increased the risk of harm to the plaintiff, or the harm was suffered because of reliance upon the undertaking.</w:t>
      </w:r>
    </w:p>
    <w:p>
      <w:pPr>
        <w:spacing w:after="240" w:before="0" w:line="480"/>
        <w:ind w:firstLine="720"/>
        <w:jc w:val="both"/>
      </w:pPr>
      <w:r>
        <w:rPr>
          <w:rFonts w:ascii="Times New Roman" w:cs="Times New Roman" w:eastAsia="Times New Roman" w:hAnsi="Times New Roman"/>
          <w:sz w:val="24"/>
          <w:szCs w:val="24"/>
        </w:rPr>
        <w:t xml:space="preserve">TNCs make specific undertakings to passengers and the public through their Community Guidelines, Rider Terms, and Platform Access Agreements. These include explicit promises to review reports of crashes and unsafe driving behavior, promises of accountability through rider feedback systems, and promises that unsafe driving activity can result in immediate loss of platform access. The platforms also represent that drivers who violate Community Guidelines can lose platform access and that safety guidelines are designed so users can have a safe experience while using the app. A company that uses its Community Guidelines to attract and reassure users cannot simultaneously disclaim liability for the very services it promises to monitor.</w:t>
      </w:r>
    </w:p>
    <w:p>
      <w:pPr>
        <w:spacing w:after="240" w:before="0" w:line="480"/>
        <w:ind w:firstLine="720"/>
        <w:jc w:val="both"/>
      </w:pPr>
      <w:r>
        <w:rPr>
          <w:rFonts w:ascii="Times New Roman" w:cs="Times New Roman" w:eastAsia="Times New Roman" w:hAnsi="Times New Roman"/>
          <w:sz w:val="24"/>
          <w:szCs w:val="24"/>
        </w:rPr>
        <w:t xml:space="preserve">Under Restatement section 324A, liability attaches if the failure to exercise reasonable care increased the risk of harm or the harm was suffered because of reliance upon the undertaking. Both prongs are typically satisfied in TNC negligent retention cases. Increased risk: had the TNC actually reviewed the documented complaints as it promised, the dangerous driver would have been deactivated and the plaintiff would never have been in his vehicle. Reliance: riders reasonably rely on TNC safety undertakings when choosing to use the platform, because the TNC designs its platform so that riders have no choice but to trust the TNC's safety representations. Riders have no independent means of vetting drivers, no access to the driver's complaint history, and no way to evaluate the driver's safety record before getting into the vehicle. The reliance is not just reasonable; it is structurally compelled by the platform itself.</w:t>
      </w:r>
    </w:p>
    <w:p>
      <w:pPr>
        <w:spacing w:after="240" w:before="0" w:line="480"/>
        <w:ind w:firstLine="720"/>
        <w:jc w:val="both"/>
      </w:pPr>
      <w:r>
        <w:rPr>
          <w:rFonts w:ascii="Times New Roman" w:cs="Times New Roman" w:eastAsia="Times New Roman" w:hAnsi="Times New Roman"/>
          <w:sz w:val="24"/>
          <w:szCs w:val="24"/>
        </w:rPr>
        <w:t xml:space="preserve">Like direct negligence and negligent retention, negligent undertaking targets the TNC's own conduct and promises. The driver's employment classification is irrelevant.</w:t>
      </w:r>
    </w:p>
    <w:p>
      <w:pPr>
        <w:spacing w:after="240" w:before="360" w:line="360"/>
        <w:jc w:val="center"/>
      </w:pPr>
      <w:r>
        <w:rPr>
          <w:rFonts w:ascii="Times New Roman" w:cs="Times New Roman" w:eastAsia="Times New Roman" w:hAnsi="Times New Roman"/>
          <w:b/>
          <w:bCs/>
          <w:sz w:val="24"/>
          <w:szCs w:val="24"/>
        </w:rPr>
        <w:t xml:space="preserve">VIII.   THE REGULATED HIRER EXCEPTION UNDER SECCI</w:t>
      </w:r>
    </w:p>
    <w:p>
      <w:pPr>
        <w:spacing w:after="240" w:before="0" w:line="480"/>
        <w:ind w:firstLine="720"/>
        <w:jc w:val="both"/>
      </w:pPr>
      <w:r>
        <w:rPr>
          <w:rFonts w:ascii="Times New Roman" w:cs="Times New Roman" w:eastAsia="Times New Roman" w:hAnsi="Times New Roman"/>
          <w:sz w:val="24"/>
          <w:szCs w:val="24"/>
        </w:rPr>
        <w:t xml:space="preserve">Even under traditional vicarious liability analysis, classification as an independent contractor does not shield the TNC from liability.</w:t>
      </w:r>
    </w:p>
    <w:p>
      <w:pPr>
        <w:spacing w:after="120" w:before="240" w:line="360"/>
        <w:ind w:left="0"/>
        <w:jc w:val="left"/>
      </w:pPr>
      <w:r>
        <w:rPr>
          <w:rFonts w:ascii="Times New Roman" w:cs="Times New Roman" w:eastAsia="Times New Roman" w:hAnsi="Times New Roman"/>
          <w:b/>
          <w:bCs/>
          <w:sz w:val="24"/>
          <w:szCs w:val="24"/>
        </w:rPr>
        <w:t xml:space="preserve">A.   Secci Establishes the Regulated Hirer Exception.</w:t>
      </w:r>
    </w:p>
    <w:p>
      <w:pPr>
        <w:spacing w:after="240" w:before="0" w:line="480"/>
        <w:ind w:firstLine="720"/>
        <w:jc w:val="both"/>
      </w:pPr>
      <w:r>
        <w:rPr>
          <w:rFonts w:ascii="Times New Roman" w:cs="Times New Roman" w:eastAsia="Times New Roman" w:hAnsi="Times New Roman"/>
          <w:i/>
          <w:iCs/>
          <w:sz w:val="24"/>
          <w:szCs w:val="24"/>
        </w:rPr>
        <w:t xml:space="preserve">Secci v. United Independent Taxi Drivers, Inc.</w:t>
      </w:r>
      <w:r>
        <w:rPr>
          <w:rFonts w:ascii="Times New Roman" w:cs="Times New Roman" w:eastAsia="Times New Roman" w:hAnsi="Times New Roman"/>
          <w:sz w:val="24"/>
          <w:szCs w:val="24"/>
        </w:rPr>
        <w:t xml:space="preserve"> (2017) 8 Cal.App.5th 846 directly addresses the question presented here: whether undisputed facts can establish an agency relationship where public agencies require a company to impose certain controls on its independent contractors. </w:t>
      </w:r>
      <w:r>
        <w:rPr>
          <w:rFonts w:ascii="Times New Roman" w:cs="Times New Roman" w:eastAsia="Times New Roman" w:hAnsi="Times New Roman"/>
          <w:i/>
          <w:iCs/>
          <w:sz w:val="24"/>
          <w:szCs w:val="24"/>
        </w:rPr>
        <w:t xml:space="preserve">Secci</w:t>
      </w:r>
      <w:r>
        <w:rPr>
          <w:rFonts w:ascii="Times New Roman" w:cs="Times New Roman" w:eastAsia="Times New Roman" w:hAnsi="Times New Roman"/>
          <w:sz w:val="24"/>
          <w:szCs w:val="24"/>
        </w:rPr>
        <w:t xml:space="preserve"> held that the taxi company was vicariously liable for its independent contractor driver's negligence, reversing a JNOV and reinstating the jury's verdict. The court established the regulated hirer exception: vicarious liability may be imposed when an entity is engaged in "activity involving possible danger to the public," operates under government-imposed safety regulations, and holds a "permit or license in aid of public safety." (</w:t>
      </w:r>
      <w:r>
        <w:rPr>
          <w:rFonts w:ascii="Times New Roman" w:cs="Times New Roman" w:eastAsia="Times New Roman" w:hAnsi="Times New Roman"/>
          <w:i/>
          <w:iCs/>
          <w:sz w:val="24"/>
          <w:szCs w:val="24"/>
        </w:rPr>
        <w:t xml:space="preserve">Id.</w:t>
      </w:r>
      <w:r>
        <w:rPr>
          <w:rFonts w:ascii="Times New Roman" w:cs="Times New Roman" w:eastAsia="Times New Roman" w:hAnsi="Times New Roman"/>
          <w:sz w:val="24"/>
          <w:szCs w:val="24"/>
        </w:rPr>
        <w:t xml:space="preserve"> at p. 868.) The TNC satisfies every element.</w:t>
      </w:r>
    </w:p>
    <w:p>
      <w:pPr>
        <w:spacing w:after="240" w:before="0" w:line="480"/>
        <w:ind w:firstLine="720"/>
        <w:jc w:val="both"/>
      </w:pPr>
      <w:r>
        <w:rPr>
          <w:rFonts w:ascii="Times New Roman" w:cs="Times New Roman" w:eastAsia="Times New Roman" w:hAnsi="Times New Roman"/>
          <w:sz w:val="24"/>
          <w:szCs w:val="24"/>
        </w:rPr>
        <w:t xml:space="preserve">Critically, </w:t>
      </w:r>
      <w:r>
        <w:rPr>
          <w:rFonts w:ascii="Times New Roman" w:cs="Times New Roman" w:eastAsia="Times New Roman" w:hAnsi="Times New Roman"/>
          <w:i/>
          <w:iCs/>
          <w:sz w:val="24"/>
          <w:szCs w:val="24"/>
        </w:rPr>
        <w:t xml:space="preserve">Secci</w:t>
      </w:r>
      <w:r>
        <w:rPr>
          <w:rFonts w:ascii="Times New Roman" w:cs="Times New Roman" w:eastAsia="Times New Roman" w:hAnsi="Times New Roman"/>
          <w:sz w:val="24"/>
          <w:szCs w:val="24"/>
        </w:rPr>
        <w:t xml:space="preserve"> expressly rejected the argument that when public regulations require a company to exert control over its independent contractors, evidence of that government-mandated control "will not support the imposition of vicarious liability." The court held that this argument "is not an accurate statement of California law," because such an interpretation "conflicts with the policy behind the regulated hirer exception, which emphasizes that the effectiveness of public regulations 'would be impaired if the carrier could circumvent them by having the regulated operations conducted by an independent contractor.'" (</w:t>
      </w:r>
      <w:r>
        <w:rPr>
          <w:rFonts w:ascii="Times New Roman" w:cs="Times New Roman" w:eastAsia="Times New Roman" w:hAnsi="Times New Roman"/>
          <w:i/>
          <w:iCs/>
          <w:sz w:val="24"/>
          <w:szCs w:val="24"/>
        </w:rPr>
        <w:t xml:space="preserve">Id.</w:t>
      </w:r>
      <w:r>
        <w:rPr>
          <w:rFonts w:ascii="Times New Roman" w:cs="Times New Roman" w:eastAsia="Times New Roman" w:hAnsi="Times New Roman"/>
          <w:sz w:val="24"/>
          <w:szCs w:val="24"/>
        </w:rPr>
        <w:t xml:space="preserve"> at pp. 860-861.)</w:t>
      </w:r>
    </w:p>
    <w:p>
      <w:pPr>
        <w:spacing w:after="120" w:before="240" w:line="360"/>
        <w:ind w:left="0"/>
        <w:jc w:val="left"/>
      </w:pPr>
      <w:r>
        <w:rPr>
          <w:rFonts w:ascii="Times New Roman" w:cs="Times New Roman" w:eastAsia="Times New Roman" w:hAnsi="Times New Roman"/>
          <w:b/>
          <w:bCs/>
          <w:sz w:val="24"/>
          <w:szCs w:val="24"/>
        </w:rPr>
        <w:t xml:space="preserve">B.   Agency and Independent Contractor Status Are Not Mutually Exclusive.</w:t>
      </w:r>
    </w:p>
    <w:p>
      <w:pPr>
        <w:spacing w:after="240" w:before="0" w:line="480"/>
        <w:ind w:firstLine="720"/>
        <w:jc w:val="both"/>
      </w:pPr>
      <w:r>
        <w:rPr>
          <w:rFonts w:ascii="Times New Roman" w:cs="Times New Roman" w:eastAsia="Times New Roman" w:hAnsi="Times New Roman"/>
          <w:i/>
          <w:iCs/>
          <w:sz w:val="24"/>
          <w:szCs w:val="24"/>
        </w:rPr>
        <w:t xml:space="preserve">Secci</w:t>
      </w:r>
      <w:r>
        <w:rPr>
          <w:rFonts w:ascii="Times New Roman" w:cs="Times New Roman" w:eastAsia="Times New Roman" w:hAnsi="Times New Roman"/>
          <w:sz w:val="24"/>
          <w:szCs w:val="24"/>
        </w:rPr>
        <w:t xml:space="preserve"> reaffirmed that "agency and independent contractorship are not necessarily mutually exclusive legal categories as independent contractor and servant or employee are. In other words, an agent may also be an independent contractor." (</w:t>
      </w:r>
      <w:r>
        <w:rPr>
          <w:rFonts w:ascii="Times New Roman" w:cs="Times New Roman" w:eastAsia="Times New Roman" w:hAnsi="Times New Roman"/>
          <w:i/>
          <w:iCs/>
          <w:sz w:val="24"/>
          <w:szCs w:val="24"/>
        </w:rPr>
        <w:t xml:space="preserve">Id.</w:t>
      </w:r>
      <w:r>
        <w:rPr>
          <w:rFonts w:ascii="Times New Roman" w:cs="Times New Roman" w:eastAsia="Times New Roman" w:hAnsi="Times New Roman"/>
          <w:sz w:val="24"/>
          <w:szCs w:val="24"/>
        </w:rPr>
        <w:t xml:space="preserve"> at p. 855, quoting </w:t>
      </w:r>
      <w:r>
        <w:rPr>
          <w:rFonts w:ascii="Times New Roman" w:cs="Times New Roman" w:eastAsia="Times New Roman" w:hAnsi="Times New Roman"/>
          <w:i/>
          <w:iCs/>
          <w:sz w:val="24"/>
          <w:szCs w:val="24"/>
        </w:rPr>
        <w:t xml:space="preserve">Jackson v. AEG Live, LLC</w:t>
      </w:r>
      <w:r>
        <w:rPr>
          <w:rFonts w:ascii="Times New Roman" w:cs="Times New Roman" w:eastAsia="Times New Roman" w:hAnsi="Times New Roman"/>
          <w:sz w:val="24"/>
          <w:szCs w:val="24"/>
        </w:rPr>
        <w:t xml:space="preserve"> (2015) 233 Cal.App.4th 1156, 1184.) This principle directly defeats the TNC's central defense. Even accepting that the driver was an independent contractor under Proposition 22, that classification does not preclude a finding that he was the TNC's agent for purposes of vicarious liability. The Judicial Council's pattern instruction CACI 3705, addressing existence of agency relationships beyond traditional employment, codifies this principle.</w:t>
      </w:r>
    </w:p>
    <w:p>
      <w:pPr>
        <w:spacing w:after="120" w:before="240" w:line="360"/>
        <w:ind w:left="0"/>
        <w:jc w:val="left"/>
      </w:pPr>
      <w:r>
        <w:rPr>
          <w:rFonts w:ascii="Times New Roman" w:cs="Times New Roman" w:eastAsia="Times New Roman" w:hAnsi="Times New Roman"/>
          <w:b/>
          <w:bCs/>
          <w:sz w:val="24"/>
          <w:szCs w:val="24"/>
        </w:rPr>
        <w:t xml:space="preserve">C.   The Secci Factors Map Onto the TNC-Driver Relationship.</w:t>
      </w:r>
    </w:p>
    <w:p>
      <w:pPr>
        <w:spacing w:after="240" w:before="0" w:line="480"/>
        <w:ind w:firstLine="720"/>
        <w:jc w:val="both"/>
      </w:pPr>
      <w:r>
        <w:rPr>
          <w:rFonts w:ascii="Times New Roman" w:cs="Times New Roman" w:eastAsia="Times New Roman" w:hAnsi="Times New Roman"/>
          <w:sz w:val="24"/>
          <w:szCs w:val="24"/>
        </w:rPr>
        <w:t xml:space="preserve">In </w:t>
      </w:r>
      <w:r>
        <w:rPr>
          <w:rFonts w:ascii="Times New Roman" w:cs="Times New Roman" w:eastAsia="Times New Roman" w:hAnsi="Times New Roman"/>
          <w:i/>
          <w:iCs/>
          <w:sz w:val="24"/>
          <w:szCs w:val="24"/>
        </w:rPr>
        <w:t xml:space="preserve">Secci</w:t>
      </w:r>
      <w:r>
        <w:rPr>
          <w:rFonts w:ascii="Times New Roman" w:cs="Times New Roman" w:eastAsia="Times New Roman" w:hAnsi="Times New Roman"/>
          <w:sz w:val="24"/>
          <w:szCs w:val="24"/>
        </w:rPr>
        <w:t xml:space="preserve">, the court found agency where the taxi company: (1) retained authority to terminate drivers; (2) could fine or discipline them for violating rules; (3) supplied a training manual with detailed rules of conduct; (4) required participation in training; and (5) required use of company equipment. (</w:t>
      </w:r>
      <w:r>
        <w:rPr>
          <w:rFonts w:ascii="Times New Roman" w:cs="Times New Roman" w:eastAsia="Times New Roman" w:hAnsi="Times New Roman"/>
          <w:i/>
          <w:iCs/>
          <w:sz w:val="24"/>
          <w:szCs w:val="24"/>
        </w:rPr>
        <w:t xml:space="preserve">Id.</w:t>
      </w:r>
      <w:r>
        <w:rPr>
          <w:rFonts w:ascii="Times New Roman" w:cs="Times New Roman" w:eastAsia="Times New Roman" w:hAnsi="Times New Roman"/>
          <w:sz w:val="24"/>
          <w:szCs w:val="24"/>
        </w:rPr>
        <w:t xml:space="preserve"> at p. 862.) Every one of these factors is present, and indeed stronger, in the TNC-driver relationship. TNCs retain unilateral deactivation authority. TNCs impose extensive Community Guidelines governing driver behavior, vehicle condition, and passenger interactions. TNCs require drivers to complete safety training mandated by the CPUC and to pass background checks. TNCs require drivers to use the TNC application and to display TNC trade dress. TNCs control ride matching, trip routing, fare calculation, payment processing, and rider feedback. TNCs geotrack drivers multiple times per minute and monitor speed. TNCs deduct a commission from each fare. The control profile present in </w:t>
      </w:r>
      <w:r>
        <w:rPr>
          <w:rFonts w:ascii="Times New Roman" w:cs="Times New Roman" w:eastAsia="Times New Roman" w:hAnsi="Times New Roman"/>
          <w:i/>
          <w:iCs/>
          <w:sz w:val="24"/>
          <w:szCs w:val="24"/>
        </w:rPr>
        <w:t xml:space="preserve">Secci</w:t>
      </w:r>
      <w:r>
        <w:rPr>
          <w:rFonts w:ascii="Times New Roman" w:cs="Times New Roman" w:eastAsia="Times New Roman" w:hAnsi="Times New Roman"/>
          <w:sz w:val="24"/>
          <w:szCs w:val="24"/>
        </w:rPr>
        <w:t xml:space="preserve"> is not diminished but enhanced in the TNC context.</w:t>
      </w:r>
    </w:p>
    <w:p>
      <w:pPr>
        <w:spacing w:after="240" w:before="0" w:line="480"/>
        <w:ind w:firstLine="720"/>
        <w:jc w:val="both"/>
      </w:pPr>
      <w:r>
        <w:rPr>
          <w:rFonts w:ascii="Times New Roman" w:cs="Times New Roman" w:eastAsia="Times New Roman" w:hAnsi="Times New Roman"/>
          <w:sz w:val="24"/>
          <w:szCs w:val="24"/>
        </w:rPr>
        <w:t xml:space="preserve">Although section 7451 specifies that a qualifying network company does not unilaterally prescribe specific dates or minimum hours and does not require acceptance of specific ride requests as a condition of platform access (Bus. &amp; Prof. Code, § 7451, subds. (a)-(b)), these provisions do not eliminate the totality of regulatory and operational controls that establish agency. </w:t>
      </w:r>
      <w:r>
        <w:rPr>
          <w:rFonts w:ascii="Times New Roman" w:cs="Times New Roman" w:eastAsia="Times New Roman" w:hAnsi="Times New Roman"/>
          <w:i/>
          <w:iCs/>
          <w:sz w:val="24"/>
          <w:szCs w:val="24"/>
        </w:rPr>
        <w:t xml:space="preserve">Secci</w:t>
      </w:r>
      <w:r>
        <w:rPr>
          <w:rFonts w:ascii="Times New Roman" w:cs="Times New Roman" w:eastAsia="Times New Roman" w:hAnsi="Times New Roman"/>
          <w:sz w:val="24"/>
          <w:szCs w:val="24"/>
        </w:rPr>
        <w:t xml:space="preserve">'s holding is that control evidence rooted in regulation cannot be categorically excluded from the agency analysis; it does not require that every traditional control factor point in the same direction to reach a jury. The question is whether the totality of the evidence is sufficient to support an agency finding.</w:t>
      </w:r>
    </w:p>
    <w:p>
      <w:pPr>
        <w:spacing w:after="120" w:before="240" w:line="360"/>
        <w:ind w:left="0"/>
        <w:jc w:val="left"/>
      </w:pPr>
      <w:r>
        <w:rPr>
          <w:rFonts w:ascii="Times New Roman" w:cs="Times New Roman" w:eastAsia="Times New Roman" w:hAnsi="Times New Roman"/>
          <w:b/>
          <w:bCs/>
          <w:sz w:val="24"/>
          <w:szCs w:val="24"/>
        </w:rPr>
        <w:t xml:space="preserve">D.   The CPUC's Agency Determination Reinforces the Secci Analysis.</w:t>
      </w:r>
    </w:p>
    <w:p>
      <w:pPr>
        <w:spacing w:after="240" w:before="0" w:line="480"/>
        <w:ind w:firstLine="720"/>
        <w:jc w:val="both"/>
      </w:pPr>
      <w:r>
        <w:rPr>
          <w:rFonts w:ascii="Times New Roman" w:cs="Times New Roman" w:eastAsia="Times New Roman" w:hAnsi="Times New Roman"/>
          <w:sz w:val="24"/>
          <w:szCs w:val="24"/>
        </w:rPr>
        <w:t xml:space="preserve">The CPUC has gone further than merely requiring controls; it has explicitly declared that TNC drivers are agents: "Although in the context of TNCs the drivers are not employees, they are clearly still agents connected with the firm." (Decision 14-04-022.) The TNC's contractual disavowal of an agency relationship to avoid liability is wholly inconsistent with the CPUC's determination that the TNC "should also be held responsible if the driver is negligent." (Decision 13-09-045.)</w:t>
      </w:r>
    </w:p>
    <w:p>
      <w:pPr>
        <w:spacing w:after="240" w:before="360" w:line="360"/>
        <w:jc w:val="center"/>
      </w:pPr>
      <w:r>
        <w:rPr>
          <w:rFonts w:ascii="Times New Roman" w:cs="Times New Roman" w:eastAsia="Times New Roman" w:hAnsi="Times New Roman"/>
          <w:b/>
          <w:bCs/>
          <w:sz w:val="24"/>
          <w:szCs w:val="24"/>
        </w:rPr>
        <w:t xml:space="preserve">IX.   OSTENSIBLE AGENCY UNDER CACI 3709</w:t>
      </w:r>
    </w:p>
    <w:p>
      <w:pPr>
        <w:spacing w:after="240" w:before="0" w:line="480"/>
        <w:ind w:firstLine="720"/>
        <w:jc w:val="both"/>
      </w:pPr>
      <w:r>
        <w:rPr>
          <w:rFonts w:ascii="Times New Roman" w:cs="Times New Roman" w:eastAsia="Times New Roman" w:hAnsi="Times New Roman"/>
          <w:sz w:val="24"/>
          <w:szCs w:val="24"/>
        </w:rPr>
        <w:t xml:space="preserve">Ostensible agency does not require that a formal employment or agency relationship actually exist. (CACI 3709.) It asks a simpler, common sense question: did the TNC's conduct lead the passenger to reasonably believe the driver was acting on the TNC's behalf? The TNC controls virtually every aspect of the rider's experience. The rider opens the TNC's app, enters a destination into the TNC's platform, is matched with a driver selected by the TNC's algorithm, sees that driver identified as a TNC driver, pays the TNC's fare through the TNC's payment system, receives a receipt from the TNC, and rates the experience through the TNC's feedback mechanism. The vehicle displays TNC branding. At no point does the rider negotiate directly with the driver, choose the driver, set the fare, or pay the driver. From the rider's perspective, they are getting into the TNC's car.</w:t>
      </w:r>
    </w:p>
    <w:p>
      <w:pPr>
        <w:spacing w:after="240" w:before="0" w:line="480"/>
        <w:ind w:firstLine="720"/>
        <w:jc w:val="both"/>
      </w:pPr>
      <w:r>
        <w:rPr>
          <w:rFonts w:ascii="Times New Roman" w:cs="Times New Roman" w:eastAsia="Times New Roman" w:hAnsi="Times New Roman"/>
          <w:sz w:val="24"/>
          <w:szCs w:val="24"/>
        </w:rPr>
        <w:t xml:space="preserve">The CPUC itself has determined that TNC drivers "are clearly still agents connected with the firm." (Decision 14-04-022.) When a company markets itself as a transportation provider, selects which driver will provide service, sets the fare, processes the payment, promises safe rides, and retains the power to terminate drivers, boilerplate contractual disclaimers do not override the reasonable expectations created by the company's own conduct.</w:t>
      </w:r>
    </w:p>
    <w:p>
      <w:pPr>
        <w:spacing w:after="240" w:before="0" w:line="480"/>
        <w:ind w:firstLine="720"/>
        <w:jc w:val="both"/>
      </w:pPr>
      <w:r>
        <w:rPr>
          <w:rFonts w:ascii="Times New Roman" w:cs="Times New Roman" w:eastAsia="Times New Roman" w:hAnsi="Times New Roman"/>
          <w:sz w:val="24"/>
          <w:szCs w:val="24"/>
        </w:rPr>
        <w:t xml:space="preserve">Ostensible agency looks to the reasonable perception of the third party (the injured passenger), not to the statutory classification of the bilateral driver-company relationship. Section 7451's classification of the driver "with respect to the app-based driver's relationship with a network company" does not control the passenger's reasonable belief about who is responsible for her safety.</w:t>
      </w:r>
    </w:p>
    <w:p>
      <w:pPr>
        <w:spacing w:after="240" w:before="360" w:line="360"/>
        <w:jc w:val="center"/>
      </w:pPr>
      <w:r>
        <w:rPr>
          <w:rFonts w:ascii="Times New Roman" w:cs="Times New Roman" w:eastAsia="Times New Roman" w:hAnsi="Times New Roman"/>
          <w:b/>
          <w:bCs/>
          <w:sz w:val="24"/>
          <w:szCs w:val="24"/>
        </w:rPr>
        <w:t xml:space="preserve">X.   PROPOSITION 22 IS A LABOR CLASSIFICATION INITIATIVE THAT DOES NOT DISPLACE TORT LIABILITY</w:t>
      </w:r>
    </w:p>
    <w:p>
      <w:pPr>
        <w:spacing w:after="240" w:before="0" w:line="480"/>
        <w:ind w:firstLine="720"/>
        <w:jc w:val="both"/>
      </w:pPr>
      <w:r>
        <w:rPr>
          <w:rFonts w:ascii="Times New Roman" w:cs="Times New Roman" w:eastAsia="Times New Roman" w:hAnsi="Times New Roman"/>
          <w:sz w:val="24"/>
          <w:szCs w:val="24"/>
        </w:rPr>
        <w:t xml:space="preserve">Having demonstrated that seven independent liability theories apply to TNC-caused injuries, Plaintiff now addresses the TNC's principal defense: that Proposition 22 eliminates all of them. It does not.</w:t>
      </w:r>
    </w:p>
    <w:p>
      <w:pPr>
        <w:spacing w:after="120" w:before="240" w:line="360"/>
        <w:ind w:left="0"/>
        <w:jc w:val="left"/>
      </w:pPr>
      <w:r>
        <w:rPr>
          <w:rFonts w:ascii="Times New Roman" w:cs="Times New Roman" w:eastAsia="Times New Roman" w:hAnsi="Times New Roman"/>
          <w:b/>
          <w:bCs/>
          <w:sz w:val="24"/>
          <w:szCs w:val="24"/>
        </w:rPr>
        <w:t xml:space="preserve">A.   The Historical Context: Proposition 22 Was Enacted to Address Worker Benefits, Not Tort Liability.</w:t>
      </w:r>
    </w:p>
    <w:p>
      <w:pPr>
        <w:spacing w:after="240" w:before="0" w:line="480"/>
        <w:ind w:firstLine="720"/>
        <w:jc w:val="both"/>
      </w:pPr>
      <w:r>
        <w:rPr>
          <w:rFonts w:ascii="Times New Roman" w:cs="Times New Roman" w:eastAsia="Times New Roman" w:hAnsi="Times New Roman"/>
          <w:sz w:val="24"/>
          <w:szCs w:val="24"/>
        </w:rPr>
        <w:t xml:space="preserve">The distinction between employees and independent contractors is not uniform across California law. As the California Supreme Court explained, the question arose first "in the tort context, in deciding whether the hirer of the worker should be held vicariously liable for an injury that resulted from the worker's actions," with the common law "control of details" test serving as "the primary common law standard for determining whether a worker was considered to be an employee or an independent contractor." (</w:t>
      </w:r>
      <w:r>
        <w:rPr>
          <w:rFonts w:ascii="Times New Roman" w:cs="Times New Roman" w:eastAsia="Times New Roman" w:hAnsi="Times New Roman"/>
          <w:i/>
          <w:iCs/>
          <w:sz w:val="24"/>
          <w:szCs w:val="24"/>
        </w:rPr>
        <w:t xml:space="preserve">Dynamex Operations West, Inc. v. Superior Court</w:t>
      </w:r>
      <w:r>
        <w:rPr>
          <w:rFonts w:ascii="Times New Roman" w:cs="Times New Roman" w:eastAsia="Times New Roman" w:hAnsi="Times New Roman"/>
          <w:sz w:val="24"/>
          <w:szCs w:val="24"/>
        </w:rPr>
        <w:t xml:space="preserve"> (2018) 4 Cal.5th 903, 927.) Beginning in the 1970s and 1980s, courts began invoking the common law control test "beyond the tort context," applying it to social welfare legislation enacted for the protection of employees. (</w:t>
      </w:r>
      <w:r>
        <w:rPr>
          <w:rFonts w:ascii="Times New Roman" w:cs="Times New Roman" w:eastAsia="Times New Roman" w:hAnsi="Times New Roman"/>
          <w:i/>
          <w:iCs/>
          <w:sz w:val="24"/>
          <w:szCs w:val="24"/>
        </w:rPr>
        <w:t xml:space="preserve">Id.</w:t>
      </w:r>
      <w:r>
        <w:rPr>
          <w:rFonts w:ascii="Times New Roman" w:cs="Times New Roman" w:eastAsia="Times New Roman" w:hAnsi="Times New Roman"/>
          <w:sz w:val="24"/>
          <w:szCs w:val="24"/>
        </w:rPr>
        <w:t xml:space="preserve"> at pp. 927-928.)</w:t>
      </w:r>
    </w:p>
    <w:p>
      <w:pPr>
        <w:spacing w:after="240" w:before="0" w:line="480"/>
        <w:ind w:firstLine="720"/>
        <w:jc w:val="both"/>
      </w:pPr>
      <w:r>
        <w:rPr>
          <w:rFonts w:ascii="Times New Roman" w:cs="Times New Roman" w:eastAsia="Times New Roman" w:hAnsi="Times New Roman"/>
          <w:sz w:val="24"/>
          <w:szCs w:val="24"/>
        </w:rPr>
        <w:t xml:space="preserve">In </w:t>
      </w:r>
      <w:r>
        <w:rPr>
          <w:rFonts w:ascii="Times New Roman" w:cs="Times New Roman" w:eastAsia="Times New Roman" w:hAnsi="Times New Roman"/>
          <w:i/>
          <w:iCs/>
          <w:sz w:val="24"/>
          <w:szCs w:val="24"/>
        </w:rPr>
        <w:t xml:space="preserve">S.G. Borello &amp; Sons, Inc. v. Department of Industrial Relations</w:t>
      </w:r>
      <w:r>
        <w:rPr>
          <w:rFonts w:ascii="Times New Roman" w:cs="Times New Roman" w:eastAsia="Times New Roman" w:hAnsi="Times New Roman"/>
          <w:sz w:val="24"/>
          <w:szCs w:val="24"/>
        </w:rPr>
        <w:t xml:space="preserve"> (1989) 48 Cal.3d 341, the Supreme Court directly addressed the employee/contractor question in the social welfare legislation context. </w:t>
      </w:r>
      <w:r>
        <w:rPr>
          <w:rFonts w:ascii="Times New Roman" w:cs="Times New Roman" w:eastAsia="Times New Roman" w:hAnsi="Times New Roman"/>
          <w:i/>
          <w:iCs/>
          <w:sz w:val="24"/>
          <w:szCs w:val="24"/>
        </w:rPr>
        <w:t xml:space="preserve">Borello</w:t>
      </w:r>
      <w:r>
        <w:rPr>
          <w:rFonts w:ascii="Times New Roman" w:cs="Times New Roman" w:eastAsia="Times New Roman" w:hAnsi="Times New Roman"/>
          <w:sz w:val="24"/>
          <w:szCs w:val="24"/>
        </w:rPr>
        <w:t xml:space="preserve"> held that "[t]he concept of employment" differs in various contexts and "the common law and statutory purposes of the distinction between 'employees' and 'independent contractors' are substantially different." (</w:t>
      </w:r>
      <w:r>
        <w:rPr>
          <w:rFonts w:ascii="Times New Roman" w:cs="Times New Roman" w:eastAsia="Times New Roman" w:hAnsi="Times New Roman"/>
          <w:i/>
          <w:iCs/>
          <w:sz w:val="24"/>
          <w:szCs w:val="24"/>
        </w:rPr>
        <w:t xml:space="preserve">Id.</w:t>
      </w:r>
      <w:r>
        <w:rPr>
          <w:rFonts w:ascii="Times New Roman" w:cs="Times New Roman" w:eastAsia="Times New Roman" w:hAnsi="Times New Roman"/>
          <w:sz w:val="24"/>
          <w:szCs w:val="24"/>
        </w:rPr>
        <w:t xml:space="preserve"> at p. 351.) The "common law principles" applicable in the tort liability context do not govern in the employee benefit "statutory" context. (</w:t>
      </w:r>
      <w:r>
        <w:rPr>
          <w:rFonts w:ascii="Times New Roman" w:cs="Times New Roman" w:eastAsia="Times New Roman" w:hAnsi="Times New Roman"/>
          <w:i/>
          <w:iCs/>
          <w:sz w:val="24"/>
          <w:szCs w:val="24"/>
        </w:rPr>
        <w:t xml:space="preserve">Ibid.</w:t>
      </w:r>
      <w:r>
        <w:rPr>
          <w:rFonts w:ascii="Times New Roman" w:cs="Times New Roman" w:eastAsia="Times New Roman" w:hAnsi="Times New Roman"/>
          <w:sz w:val="24"/>
          <w:szCs w:val="24"/>
        </w:rPr>
        <w:t xml:space="preserve">)</w:t>
      </w:r>
    </w:p>
    <w:p>
      <w:pPr>
        <w:spacing w:after="240" w:before="0" w:line="480"/>
        <w:ind w:firstLine="720"/>
        <w:jc w:val="both"/>
      </w:pPr>
      <w:r>
        <w:rPr>
          <w:rFonts w:ascii="Times New Roman" w:cs="Times New Roman" w:eastAsia="Times New Roman" w:hAnsi="Times New Roman"/>
          <w:sz w:val="24"/>
          <w:szCs w:val="24"/>
        </w:rPr>
        <w:t xml:space="preserve">In 2018, </w:t>
      </w:r>
      <w:r>
        <w:rPr>
          <w:rFonts w:ascii="Times New Roman" w:cs="Times New Roman" w:eastAsia="Times New Roman" w:hAnsi="Times New Roman"/>
          <w:i/>
          <w:iCs/>
          <w:sz w:val="24"/>
          <w:szCs w:val="24"/>
        </w:rPr>
        <w:t xml:space="preserve">Dynamex</w:t>
      </w:r>
      <w:r>
        <w:rPr>
          <w:rFonts w:ascii="Times New Roman" w:cs="Times New Roman" w:eastAsia="Times New Roman" w:hAnsi="Times New Roman"/>
          <w:sz w:val="24"/>
          <w:szCs w:val="24"/>
        </w:rPr>
        <w:t xml:space="preserve"> adopted an "ABC" test in "one specific context," namely "whether workers should be classified as employees or as independent contractors for purposes of California wage orders." (</w:t>
      </w:r>
      <w:r>
        <w:rPr>
          <w:rFonts w:ascii="Times New Roman" w:cs="Times New Roman" w:eastAsia="Times New Roman" w:hAnsi="Times New Roman"/>
          <w:i/>
          <w:iCs/>
          <w:sz w:val="24"/>
          <w:szCs w:val="24"/>
        </w:rPr>
        <w:t xml:space="preserve">Dynamex</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 xml:space="preserve">supra</w:t>
      </w:r>
      <w:r>
        <w:rPr>
          <w:rFonts w:ascii="Times New Roman" w:cs="Times New Roman" w:eastAsia="Times New Roman" w:hAnsi="Times New Roman"/>
          <w:sz w:val="24"/>
          <w:szCs w:val="24"/>
        </w:rPr>
        <w:t xml:space="preserve">, 4 Cal.5th at pp. 913-914.) Two years later, the Legislature enacted Labor Code section 2775, codifying the </w:t>
      </w:r>
      <w:r>
        <w:rPr>
          <w:rFonts w:ascii="Times New Roman" w:cs="Times New Roman" w:eastAsia="Times New Roman" w:hAnsi="Times New Roman"/>
          <w:i/>
          <w:iCs/>
          <w:sz w:val="24"/>
          <w:szCs w:val="24"/>
        </w:rPr>
        <w:t xml:space="preserve">Dynamex</w:t>
      </w:r>
      <w:r>
        <w:rPr>
          <w:rFonts w:ascii="Times New Roman" w:cs="Times New Roman" w:eastAsia="Times New Roman" w:hAnsi="Times New Roman"/>
          <w:sz w:val="24"/>
          <w:szCs w:val="24"/>
        </w:rPr>
        <w:t xml:space="preserve"> ABC test and extending its reach to "this code and the Unemployment Insurance Code, and . . . wage orders of the Industrial Welfare Commission." (Lab. Code, § 2775, subd. (b).) Critically, after Labor Code section 2775: (1) the employee/contractor classification in the statutory worker-benefits context was determined by the ABC test; but (2) the employee/contractor question in the common law tort liability context remained unaltered, still governed by the original control of details test.</w:t>
      </w:r>
    </w:p>
    <w:p>
      <w:pPr>
        <w:spacing w:after="240" w:before="0" w:line="480"/>
        <w:ind w:firstLine="720"/>
        <w:jc w:val="both"/>
      </w:pPr>
      <w:r>
        <w:rPr>
          <w:rFonts w:ascii="Times New Roman" w:cs="Times New Roman" w:eastAsia="Times New Roman" w:hAnsi="Times New Roman"/>
          <w:sz w:val="24"/>
          <w:szCs w:val="24"/>
        </w:rPr>
        <w:t xml:space="preserve">Uber, Lyft, and their coalition wrote and funded Proposition 22 expressly "in response" to Labor Code section 2775's adoption of the </w:t>
      </w:r>
      <w:r>
        <w:rPr>
          <w:rFonts w:ascii="Times New Roman" w:cs="Times New Roman" w:eastAsia="Times New Roman" w:hAnsi="Times New Roman"/>
          <w:i/>
          <w:iCs/>
          <w:sz w:val="24"/>
          <w:szCs w:val="24"/>
        </w:rPr>
        <w:t xml:space="preserve">Dynamex</w:t>
      </w:r>
      <w:r>
        <w:rPr>
          <w:rFonts w:ascii="Times New Roman" w:cs="Times New Roman" w:eastAsia="Times New Roman" w:hAnsi="Times New Roman"/>
          <w:sz w:val="24"/>
          <w:szCs w:val="24"/>
        </w:rPr>
        <w:t xml:space="preserve"> ABC test in the worker-benefits context. (</w:t>
      </w:r>
      <w:r>
        <w:rPr>
          <w:rFonts w:ascii="Times New Roman" w:cs="Times New Roman" w:eastAsia="Times New Roman" w:hAnsi="Times New Roman"/>
          <w:i/>
          <w:iCs/>
          <w:sz w:val="24"/>
          <w:szCs w:val="24"/>
        </w:rPr>
        <w:t xml:space="preserve">Castellanos v. State of California</w:t>
      </w:r>
      <w:r>
        <w:rPr>
          <w:rFonts w:ascii="Times New Roman" w:cs="Times New Roman" w:eastAsia="Times New Roman" w:hAnsi="Times New Roman"/>
          <w:sz w:val="24"/>
          <w:szCs w:val="24"/>
        </w:rPr>
        <w:t xml:space="preserve"> (2023) 89 Cal.App.5th 131, 143</w:t>
      </w:r>
      <w:r>
        <w:rPr/>
        <w:t xml:space="preserve">, affd. on other grounds, </w:t>
      </w:r>
      <w:r>
        <w:rPr>
          <w:i/>
        </w:rPr>
        <w:t>Castellanos v. State of California</w:t>
      </w:r>
      <w:r>
        <w:rPr/>
        <w:t xml:space="preserve"> (2024) 16 Cal.5th 588 [Supreme Court limited review to the workers' compensation question and did not address the Court of Appeal's single-subject analysis]</w:t>
      </w:r>
      <w:r>
        <w:t>.) Proposition 22 and its ballot materials repeatedly stressed this focus, lamenting that the Legislature had "recently passed a law that limits the ability of companies to hire workers as independent contractors" and decrying this "DRASTIC NEW LEGISLATION." Reflecting this specific statutory worker-benefits context, the Attorney General gave Proposition 22 an appropriately descriptive Title and Summary: "Exempts App-Based Transportation And Delivery Companies From Providing Employee Benefits To Certain Drivers."</w:t>
      </w:r>
    </w:p>
    <w:p>
      <w:pPr>
        <w:spacing w:after="240" w:before="0" w:line="480"/>
        <w:ind w:firstLine="720"/>
        <w:jc w:val="both"/>
      </w:pPr>
      <w:r>
        <w:rPr>
          <w:rFonts w:ascii="Times New Roman" w:cs="Times New Roman" w:eastAsia="Times New Roman" w:hAnsi="Times New Roman"/>
          <w:sz w:val="24"/>
          <w:szCs w:val="24"/>
        </w:rPr>
        <w:t xml:space="preserve">The historical record is unambiguous. Proposition 22 was created specifically to override Labor Code section 2775's ABC test in the discrete area of statutory worker benefits. It was not directed at, and was never represented to voters as addressing, the entirely separate area of common law tort liability.</w:t>
      </w:r>
    </w:p>
    <w:p>
      <w:pPr>
        <w:spacing w:after="120" w:before="240" w:line="360"/>
        <w:ind w:left="0"/>
        <w:jc w:val="left"/>
      </w:pPr>
      <w:r>
        <w:rPr>
          <w:rFonts w:ascii="Times New Roman" w:cs="Times New Roman" w:eastAsia="Times New Roman" w:hAnsi="Times New Roman"/>
          <w:b/>
          <w:bCs/>
          <w:sz w:val="24"/>
          <w:szCs w:val="24"/>
        </w:rPr>
        <w:t xml:space="preserve">B.   The Statutory Text Confines Section 7451 to the Driver-Company Relationship.</w:t>
      </w:r>
    </w:p>
    <w:p>
      <w:pPr>
        <w:spacing w:after="240" w:before="0" w:line="480"/>
        <w:ind w:firstLine="720"/>
        <w:jc w:val="both"/>
      </w:pPr>
      <w:r>
        <w:rPr>
          <w:rFonts w:ascii="Times New Roman" w:cs="Times New Roman" w:eastAsia="Times New Roman" w:hAnsi="Times New Roman"/>
          <w:sz w:val="24"/>
          <w:szCs w:val="24"/>
        </w:rPr>
        <w:t xml:space="preserve">Section 7451 provides:</w:t>
      </w:r>
    </w:p>
    <w:p>
      <w:pPr>
        <w:spacing w:after="240" w:before="120" w:line="360"/>
        <w:ind w:left="720" w:right="720"/>
        <w:jc w:val="both"/>
      </w:pPr>
      <w:r>
        <w:rPr>
          <w:rFonts w:ascii="Times New Roman" w:cs="Times New Roman" w:eastAsia="Times New Roman" w:hAnsi="Times New Roman"/>
          <w:sz w:val="24"/>
          <w:szCs w:val="24"/>
        </w:rPr>
        <w:t xml:space="preserve">Notwithstanding any other provision of law, including, but not limited to, the Labor Code, the Unemployment Insurance Code, and any orders, regulations, or opinions of the Department of Industrial Relations or any board, division, or commission within the Department of Industrial Relations, an app-based driver is an independent contractor and not an employee or agent </w:t>
      </w:r>
      <w:r>
        <w:rPr>
          <w:rFonts w:ascii="Times New Roman" w:cs="Times New Roman" w:eastAsia="Times New Roman" w:hAnsi="Times New Roman"/>
          <w:i/>
          <w:iCs/>
          <w:sz w:val="24"/>
          <w:szCs w:val="24"/>
        </w:rPr>
        <w:t xml:space="preserve">with respect to the app-based driver's relationship with a network company</w:t>
      </w:r>
      <w:r>
        <w:rPr>
          <w:rFonts w:ascii="Times New Roman" w:cs="Times New Roman" w:eastAsia="Times New Roman" w:hAnsi="Times New Roman"/>
          <w:sz w:val="24"/>
          <w:szCs w:val="24"/>
        </w:rPr>
        <w:t xml:space="preserve"> if the following conditions are met . . . .</w:t>
      </w:r>
    </w:p>
    <w:p>
      <w:pPr>
        <w:spacing w:after="240" w:before="0" w:line="480"/>
        <w:ind w:firstLine="720"/>
        <w:jc w:val="both"/>
      </w:pPr>
      <w:r>
        <w:rPr>
          <w:rFonts w:ascii="Times New Roman" w:cs="Times New Roman" w:eastAsia="Times New Roman" w:hAnsi="Times New Roman"/>
          <w:sz w:val="24"/>
          <w:szCs w:val="24"/>
        </w:rPr>
        <w:t xml:space="preserve">(Bus. &amp; Prof. Code, § 7451, italics added.) Two features of this language are critical. First, while the statute opens with a broad "notwithstanding any other provision of law" preamble, it then specifically enumerates only employment and labor-related codes: the Labor Code, the Unemployment Insurance Code, and Department of Industrial Relations orders and regulations. It does not reference the Public Utilities Code, the Civil Code, or any tort liability framework. Second, the operative clause classifies drivers as independent contractors "with respect to the app-based driver's relationship with a network company." This language addresses the bilateral driver-to-company relationship, not third-party tort claims by injured passengers and members of the public.</w:t>
      </w:r>
    </w:p>
    <w:p>
      <w:pPr>
        <w:spacing w:after="240" w:before="0" w:line="480"/>
        <w:ind w:firstLine="720"/>
        <w:jc w:val="both"/>
      </w:pPr>
      <w:r>
        <w:rPr>
          <w:rFonts w:ascii="Times New Roman" w:cs="Times New Roman" w:eastAsia="Times New Roman" w:hAnsi="Times New Roman"/>
          <w:sz w:val="24"/>
          <w:szCs w:val="24"/>
        </w:rPr>
        <w:t xml:space="preserve">The TNC's interpretation simply writes the limiting language out of the statute. Under California's settled surplusage canon, courts must "give meaning to every word, phrase, sentence, and part of an act in pursuance of the legislative purpose," and avoid "constructions that would render any word or provision surplusage" or a "nullity." (</w:t>
      </w:r>
      <w:r>
        <w:rPr>
          <w:rFonts w:ascii="Times New Roman" w:cs="Times New Roman" w:eastAsia="Times New Roman" w:hAnsi="Times New Roman"/>
          <w:i/>
          <w:iCs/>
          <w:sz w:val="24"/>
          <w:szCs w:val="24"/>
        </w:rPr>
        <w:t xml:space="preserve">People v. Valencia</w:t>
      </w:r>
      <w:r>
        <w:rPr>
          <w:rFonts w:ascii="Times New Roman" w:cs="Times New Roman" w:eastAsia="Times New Roman" w:hAnsi="Times New Roman"/>
          <w:sz w:val="24"/>
          <w:szCs w:val="24"/>
        </w:rPr>
        <w:t xml:space="preserve"> (2017) 3 Cal.5th 347, 357; </w:t>
      </w:r>
      <w:r>
        <w:rPr>
          <w:rFonts w:ascii="Times New Roman" w:cs="Times New Roman" w:eastAsia="Times New Roman" w:hAnsi="Times New Roman"/>
          <w:i/>
          <w:iCs/>
          <w:sz w:val="24"/>
          <w:szCs w:val="24"/>
        </w:rPr>
        <w:t xml:space="preserve">Tuolumne Jobs &amp; Small Bus. Alliance v. Superior Court</w:t>
      </w:r>
      <w:r>
        <w:rPr>
          <w:rFonts w:ascii="Times New Roman" w:cs="Times New Roman" w:eastAsia="Times New Roman" w:hAnsi="Times New Roman"/>
          <w:sz w:val="24"/>
          <w:szCs w:val="24"/>
        </w:rPr>
        <w:t xml:space="preserve"> (2014) 59 Cal.4th 1029, 1039.) If section 7451 were intended to bar all classification questions in all contexts, the qualifying phrase "with respect to the app-based driver's relationship with a network company" would serve no purpose. The TNC's reading asks this Court to treat that thirteen-word limitation as surplusage. The canon against surplusage forbids exactly that.</w:t>
      </w:r>
    </w:p>
    <w:p>
      <w:pPr>
        <w:spacing w:after="240" w:before="0" w:line="480"/>
        <w:ind w:firstLine="720"/>
        <w:jc w:val="both"/>
      </w:pPr>
      <w:r>
        <w:rPr>
          <w:rFonts w:ascii="Times New Roman" w:cs="Times New Roman" w:eastAsia="Times New Roman" w:hAnsi="Times New Roman"/>
          <w:sz w:val="24"/>
          <w:szCs w:val="24"/>
        </w:rPr>
        <w:t xml:space="preserve">The contrast with parallel statutes in other states is instructive. </w:t>
      </w:r>
      <w:r>
        <w:rPr/>
        <w:t xml:space="preserve">Arizona's TNC statute, for example, expressly applies its independent-contractor classification "for all purposes" of state and local laws. (See A.R.S. § 23-1603 ["shall be treated as an independent contractor for all purposes under state and local laws"].) </w:t>
      </w:r>
      <w:r>
        <w:t>California's section 7451, by contrast, contains no "all purposes" language and instead expressly limits its reach to the bilateral driver-company "relationship." Where the Legislature, or here the electorate as drafter, knows how to write "for all purposes" but did not, courts must give effect to the omission. (</w:t>
      </w:r>
      <w:r>
        <w:rPr>
          <w:rFonts w:ascii="Times New Roman" w:cs="Times New Roman" w:eastAsia="Times New Roman" w:hAnsi="Times New Roman"/>
          <w:i/>
          <w:iCs/>
          <w:sz w:val="24"/>
          <w:szCs w:val="24"/>
        </w:rPr>
        <w:t xml:space="preserve">Valencia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 xml:space="preserve">supra</w:t>
      </w:r>
      <w:r>
        <w:rPr>
          <w:rFonts w:ascii="Times New Roman" w:cs="Times New Roman" w:eastAsia="Times New Roman" w:hAnsi="Times New Roman"/>
          <w:sz w:val="24"/>
          <w:szCs w:val="24"/>
        </w:rPr>
        <w:t xml:space="preserve">, 3 Cal.5th at p. 357.)</w:t>
      </w:r>
    </w:p>
    <w:p>
      <w:pPr>
        <w:spacing w:after="120" w:before="240" w:line="360"/>
        <w:ind w:left="0"/>
        <w:jc w:val="left"/>
      </w:pPr>
      <w:r>
        <w:rPr>
          <w:rFonts w:ascii="Times New Roman" w:cs="Times New Roman" w:eastAsia="Times New Roman" w:hAnsi="Times New Roman"/>
          <w:b/>
          <w:bCs/>
          <w:sz w:val="24"/>
          <w:szCs w:val="24"/>
        </w:rPr>
        <w:t xml:space="preserve">C.   The Deliberate Omission of the Public Utilities Code and Civil Code Is Dispositive.</w:t>
      </w:r>
    </w:p>
    <w:p>
      <w:pPr>
        <w:spacing w:after="240" w:before="0" w:line="480"/>
        <w:ind w:firstLine="720"/>
        <w:jc w:val="both"/>
      </w:pPr>
      <w:r>
        <w:rPr>
          <w:rFonts w:ascii="Times New Roman" w:cs="Times New Roman" w:eastAsia="Times New Roman" w:hAnsi="Times New Roman"/>
          <w:sz w:val="24"/>
          <w:szCs w:val="24"/>
        </w:rPr>
        <w:t xml:space="preserve">Section 7451 enumerates specific codes and conspicuously omits the statutory frameworks on which multiple independent liability theories depend. Under settled construction rules, when a statute speaks to one subject and omits a parallel provision for a closely related subject, courts treat the omission as deliberate. (</w:t>
      </w:r>
      <w:r>
        <w:rPr>
          <w:rFonts w:ascii="Times New Roman" w:cs="Times New Roman" w:eastAsia="Times New Roman" w:hAnsi="Times New Roman"/>
          <w:i/>
          <w:iCs/>
          <w:sz w:val="24"/>
          <w:szCs w:val="24"/>
        </w:rPr>
        <w:t xml:space="preserve">In re Jennings</w:t>
      </w:r>
      <w:r>
        <w:rPr>
          <w:rFonts w:ascii="Times New Roman" w:cs="Times New Roman" w:eastAsia="Times New Roman" w:hAnsi="Times New Roman"/>
          <w:sz w:val="24"/>
          <w:szCs w:val="24"/>
        </w:rPr>
        <w:t xml:space="preserve"> (2004) 34 Cal.4th 254, 273; </w:t>
      </w:r>
      <w:r>
        <w:rPr>
          <w:rFonts w:ascii="Times New Roman" w:cs="Times New Roman" w:eastAsia="Times New Roman" w:hAnsi="Times New Roman"/>
          <w:i/>
          <w:iCs/>
          <w:sz w:val="24"/>
          <w:szCs w:val="24"/>
        </w:rPr>
        <w:t xml:space="preserve">Le Francois v. Goel</w:t>
      </w:r>
      <w:r>
        <w:rPr>
          <w:rFonts w:ascii="Times New Roman" w:cs="Times New Roman" w:eastAsia="Times New Roman" w:hAnsi="Times New Roman"/>
          <w:sz w:val="24"/>
          <w:szCs w:val="24"/>
        </w:rPr>
        <w:t xml:space="preserve"> (2005) 35 Cal.4th 1094, 1105.) The maxim </w:t>
      </w:r>
      <w:r>
        <w:rPr>
          <w:rFonts w:ascii="Times New Roman" w:cs="Times New Roman" w:eastAsia="Times New Roman" w:hAnsi="Times New Roman"/>
          <w:i/>
          <w:iCs/>
          <w:sz w:val="24"/>
          <w:szCs w:val="24"/>
        </w:rPr>
        <w:t xml:space="preserve">expressio unius est exclusio alterius</w:t>
      </w:r>
      <w:r>
        <w:rPr>
          <w:rFonts w:ascii="Times New Roman" w:cs="Times New Roman" w:eastAsia="Times New Roman" w:hAnsi="Times New Roman"/>
          <w:sz w:val="24"/>
          <w:szCs w:val="24"/>
        </w:rPr>
        <w:t xml:space="preserve"> applies with full force here: by listing the Labor Code, Unemployment Insurance Code, and DIR orders, Proposition 22's drafters indicated they were not displacing other codes.</w:t>
      </w:r>
    </w:p>
    <w:p>
      <w:pPr>
        <w:spacing w:after="240" w:before="0" w:line="480"/>
        <w:ind w:firstLine="720"/>
        <w:jc w:val="both"/>
      </w:pPr>
      <w:r>
        <w:rPr>
          <w:rFonts w:ascii="Times New Roman" w:cs="Times New Roman" w:eastAsia="Times New Roman" w:hAnsi="Times New Roman"/>
          <w:sz w:val="24"/>
          <w:szCs w:val="24"/>
        </w:rPr>
        <w:t xml:space="preserve">A court cannot expand the statute's scope by adding an unexpressed immunity. Code of Civil Procedure section 1858 bars courts from inserting what the Legislature or voters omitted: "In the construction of a statute . . . the office of the Judge is simply to ascertain and declare what is in terms or in substance contained therein, not to insert what has been omitted." The Supreme Court has repeatedly enforced that rule. (</w:t>
      </w:r>
      <w:r>
        <w:rPr>
          <w:rFonts w:ascii="Times New Roman" w:cs="Times New Roman" w:eastAsia="Times New Roman" w:hAnsi="Times New Roman"/>
          <w:i/>
          <w:iCs/>
          <w:sz w:val="24"/>
          <w:szCs w:val="24"/>
        </w:rPr>
        <w:t xml:space="preserve">People v. Raybon</w:t>
      </w:r>
      <w:r>
        <w:rPr>
          <w:rFonts w:ascii="Times New Roman" w:cs="Times New Roman" w:eastAsia="Times New Roman" w:hAnsi="Times New Roman"/>
          <w:sz w:val="24"/>
          <w:szCs w:val="24"/>
        </w:rPr>
        <w:t xml:space="preserve"> (2021) 11 Cal.5th 1056, 1069; </w:t>
      </w:r>
      <w:r>
        <w:rPr>
          <w:rFonts w:ascii="Times New Roman" w:cs="Times New Roman" w:eastAsia="Times New Roman" w:hAnsi="Times New Roman"/>
          <w:i/>
          <w:iCs/>
          <w:sz w:val="24"/>
          <w:szCs w:val="24"/>
        </w:rPr>
        <w:t xml:space="preserve">People v. Guzman</w:t>
      </w:r>
      <w:r>
        <w:rPr>
          <w:rFonts w:ascii="Times New Roman" w:cs="Times New Roman" w:eastAsia="Times New Roman" w:hAnsi="Times New Roman"/>
          <w:sz w:val="24"/>
          <w:szCs w:val="24"/>
        </w:rPr>
        <w:t xml:space="preserve"> (2005) 35 Cal.4th 577, 586-587.) The TNC's interpretation treats section 7451 as silently overriding the Public Utilities Code's carrier liability framework, which is precisely what section 1858 prohibits.</w:t>
      </w:r>
    </w:p>
    <w:p>
      <w:pPr>
        <w:spacing w:after="120" w:before="240" w:line="360"/>
        <w:ind w:left="0"/>
        <w:jc w:val="left"/>
      </w:pPr>
      <w:r>
        <w:rPr>
          <w:rFonts w:ascii="Times New Roman" w:cs="Times New Roman" w:eastAsia="Times New Roman" w:hAnsi="Times New Roman"/>
          <w:b/>
          <w:bCs/>
          <w:sz w:val="24"/>
          <w:szCs w:val="24"/>
        </w:rPr>
        <w:t xml:space="preserve">D.   Voter Intent Confirms the Limited Scope.</w:t>
      </w:r>
    </w:p>
    <w:p>
      <w:pPr>
        <w:spacing w:after="240" w:before="0" w:line="480"/>
        <w:ind w:firstLine="720"/>
        <w:jc w:val="both"/>
      </w:pPr>
      <w:r>
        <w:rPr>
          <w:rFonts w:ascii="Times New Roman" w:cs="Times New Roman" w:eastAsia="Times New Roman" w:hAnsi="Times New Roman"/>
          <w:sz w:val="24"/>
          <w:szCs w:val="24"/>
        </w:rPr>
        <w:t xml:space="preserve">Courts "cannot presume that . . . the voters intended the initiative to effect a change in law that was not expressed or strongly implied in either the text of the initiative or the analyses and arguments in the official ballot pamphlet." (</w:t>
      </w:r>
      <w:r>
        <w:rPr>
          <w:rFonts w:ascii="Times New Roman" w:cs="Times New Roman" w:eastAsia="Times New Roman" w:hAnsi="Times New Roman"/>
          <w:i/>
          <w:iCs/>
          <w:sz w:val="24"/>
          <w:szCs w:val="24"/>
        </w:rPr>
        <w:t xml:space="preserve">People v. Valencia</w:t>
      </w:r>
      <w:r>
        <w:rPr>
          <w:rFonts w:ascii="Times New Roman" w:cs="Times New Roman" w:eastAsia="Times New Roman" w:hAnsi="Times New Roman"/>
          <w:sz w:val="24"/>
          <w:szCs w:val="24"/>
        </w:rPr>
        <w:t xml:space="preserve"> (2017) 3 Cal.5th 347, 364; </w:t>
      </w:r>
      <w:r>
        <w:rPr>
          <w:rFonts w:ascii="Times New Roman" w:cs="Times New Roman" w:eastAsia="Times New Roman" w:hAnsi="Times New Roman"/>
          <w:i/>
          <w:iCs/>
          <w:sz w:val="24"/>
          <w:szCs w:val="24"/>
        </w:rPr>
        <w:t xml:space="preserve">People v. Superior Court (Zamudio)</w:t>
      </w:r>
      <w:r>
        <w:rPr>
          <w:rFonts w:ascii="Times New Roman" w:cs="Times New Roman" w:eastAsia="Times New Roman" w:hAnsi="Times New Roman"/>
          <w:sz w:val="24"/>
          <w:szCs w:val="24"/>
        </w:rPr>
        <w:t xml:space="preserve"> (2000) 23 Cal.4th 183, 199.) The official ballot title was: "Exempts App-Based Transportation and Delivery Companies from Providing Employee Benefits to Certain Drivers." No argument in the voter guide told California voters that a "yes" vote would also immunize TNCs from tort liability when their drivers injure members of the public.</w:t>
      </w:r>
    </w:p>
    <w:p>
      <w:pPr>
        <w:spacing w:after="240" w:before="0" w:line="480"/>
        <w:ind w:firstLine="720"/>
        <w:jc w:val="both"/>
      </w:pPr>
      <w:r>
        <w:rPr>
          <w:rFonts w:ascii="Times New Roman" w:cs="Times New Roman" w:eastAsia="Times New Roman" w:hAnsi="Times New Roman"/>
          <w:sz w:val="24"/>
          <w:szCs w:val="24"/>
        </w:rPr>
        <w:t xml:space="preserve">The Voter Information Guide focused exclusively on driver work conditions and benefits. The Quick Reference Guide told voters that a "YES vote on this measure means" companies could hire drivers as independent contractors who could "decide when, where, and how much to work but would not get standard benefits and protections that businesses must provide employees." The Official Summary likewise told voters that drivers would not be "covered by various state employment laws" but would receive "other compensation, including minimum earnings, healthcare subsidies, and vehicle insurance." The Legislative Analyst's analysis was in accord, discussing in detail the "certain benefits" that independent contractor drivers would receive. The Argument in Favor (drafted by the Uber/Lyft coalition) said Proposition 22 "PROTECTS" drivers and their work choices, "IMPROVES" working conditions through "new benefits" including "guaranteed minimum earnings" and "health benefits," and provides "PUBLIC SAFETY PROTECTIONS." Literally nothing provided to the voters about Proposition 22, neither the title and summary, the Voter Guide, the measure's text, nor the statutory provisions it enacted, even mentioned common law tort liability, let alone told voters that a "yes" vote would dramatically reimagine that discrete area of common law and immunize TNCs from liability for driver negligence.</w:t>
      </w:r>
    </w:p>
    <w:p>
      <w:pPr>
        <w:spacing w:after="120" w:before="240" w:line="360"/>
        <w:ind w:left="0"/>
        <w:jc w:val="left"/>
      </w:pPr>
      <w:r>
        <w:rPr>
          <w:rFonts w:ascii="Times New Roman" w:cs="Times New Roman" w:eastAsia="Times New Roman" w:hAnsi="Times New Roman"/>
          <w:b/>
          <w:bCs/>
          <w:sz w:val="24"/>
          <w:szCs w:val="24"/>
        </w:rPr>
        <w:t xml:space="preserve">E.   The TNC Is Estopped From Recharacterizing Proposition 22.</w:t>
      </w:r>
    </w:p>
    <w:p>
      <w:pPr>
        <w:spacing w:after="240" w:before="0" w:line="480"/>
        <w:ind w:firstLine="720"/>
        <w:jc w:val="both"/>
      </w:pPr>
      <w:r>
        <w:rPr>
          <w:rFonts w:ascii="Times New Roman" w:cs="Times New Roman" w:eastAsia="Times New Roman" w:hAnsi="Times New Roman"/>
          <w:sz w:val="24"/>
          <w:szCs w:val="24"/>
        </w:rPr>
        <w:t xml:space="preserve">The TNC's expansive new reading of section 7451 is foreclosed by judicial estoppel. In </w:t>
      </w:r>
      <w:r>
        <w:rPr>
          <w:rFonts w:ascii="Times New Roman" w:cs="Times New Roman" w:eastAsia="Times New Roman" w:hAnsi="Times New Roman"/>
          <w:i/>
          <w:iCs/>
          <w:sz w:val="24"/>
          <w:szCs w:val="24"/>
        </w:rPr>
        <w:t xml:space="preserve">Castellanos v. State</w:t>
      </w:r>
      <w:r>
        <w:rPr>
          <w:rFonts w:ascii="Times New Roman" w:cs="Times New Roman" w:eastAsia="Times New Roman" w:hAnsi="Times New Roman"/>
          <w:sz w:val="24"/>
          <w:szCs w:val="24"/>
        </w:rPr>
        <w:t xml:space="preserve"> (2023) 89 Cal.App.5th 131</w:t>
      </w:r>
      <w:r>
        <w:rPr/>
        <w:t xml:space="preserve">, affd. on other grounds, </w:t>
      </w:r>
      <w:r>
        <w:rPr>
          <w:i/>
        </w:rPr>
        <w:t>Castellanos v. State of California</w:t>
      </w:r>
      <w:r>
        <w:rPr/>
        <w:t xml:space="preserve"> (2024) 16 Cal.5th 588</w:t>
      </w:r>
      <w:r>
        <w:t>, the Court of Appeal addressed a single-subject challenge to Proposition 22. The plaintiffs argued that Proposition 22 violated the single subject rule by including a provision that could limit drivers' rights to collective bargaining. (</w:t>
      </w:r>
      <w:r>
        <w:rPr>
          <w:rFonts w:ascii="Times New Roman" w:cs="Times New Roman" w:eastAsia="Times New Roman" w:hAnsi="Times New Roman"/>
          <w:i/>
          <w:iCs/>
          <w:sz w:val="24"/>
          <w:szCs w:val="24"/>
        </w:rPr>
        <w:t xml:space="preserve">Id.</w:t>
      </w:r>
      <w:r>
        <w:rPr>
          <w:rFonts w:ascii="Times New Roman" w:cs="Times New Roman" w:eastAsia="Times New Roman" w:hAnsi="Times New Roman"/>
          <w:sz w:val="24"/>
          <w:szCs w:val="24"/>
        </w:rPr>
        <w:t xml:space="preserve"> at p. 159.) Uber and Lyft, through Proposition 22's drafters and proponents, defended the initiative by arguing it had a single "common theme or purpose": "the creation of a new balance of benefits and obligations for app-based drivers in lieu of either traditional employment or traditional independent contractor status." (</w:t>
      </w:r>
      <w:r>
        <w:rPr>
          <w:rFonts w:ascii="Times New Roman" w:cs="Times New Roman" w:eastAsia="Times New Roman" w:hAnsi="Times New Roman"/>
          <w:i/>
          <w:iCs/>
          <w:sz w:val="24"/>
          <w:szCs w:val="24"/>
        </w:rPr>
        <w:t xml:space="preserve">Ibid.</w:t>
      </w:r>
      <w:r>
        <w:rPr>
          <w:rFonts w:ascii="Times New Roman" w:cs="Times New Roman" w:eastAsia="Times New Roman" w:hAnsi="Times New Roman"/>
          <w:sz w:val="24"/>
          <w:szCs w:val="24"/>
        </w:rPr>
        <w:t xml:space="preserve">) The Court of Appeal accepted that characterization, identifying Proposition 22's "overarching single subject" as "regulation of the relationships between app-based drivers and network companies." (</w:t>
      </w:r>
      <w:r>
        <w:rPr>
          <w:rFonts w:ascii="Times New Roman" w:cs="Times New Roman" w:eastAsia="Times New Roman" w:hAnsi="Times New Roman"/>
          <w:i/>
          <w:iCs/>
          <w:sz w:val="24"/>
          <w:szCs w:val="24"/>
        </w:rPr>
        <w:t xml:space="preserve">Ibid.</w:t>
      </w:r>
      <w:r>
        <w:rPr>
          <w:rFonts w:ascii="Times New Roman" w:cs="Times New Roman" w:eastAsia="Times New Roman" w:hAnsi="Times New Roman"/>
          <w:sz w:val="24"/>
          <w:szCs w:val="24"/>
        </w:rPr>
        <w:t xml:space="preserve">) That holding, the holding that saved Proposition 22 from constitutional invalidation, depended on Uber's and Lyft's representation that the initiative was confined to the labor-relationship context.</w:t>
      </w:r>
      <w:r>
        <w:rPr/>
        <w:t xml:space="preserve"> The California Supreme Court's affirmance addressed only the narrow question whether section 7451 conflicts with Article XIV, section 4 of the California Constitution, and expressly declined to reach other constitutional issues. The Court of Appeal's single-subject reasoning therefore stands as published authority, and Uber's sworn representations to that court regarding the initiative's confined scope remain on the record and are unimpaired by the Supreme Court's narrower opinion.</w:t>
      </w:r>
    </w:p>
    <w:p>
      <w:pPr>
        <w:spacing w:after="240" w:before="0" w:line="480"/>
        <w:ind w:firstLine="720"/>
        <w:jc w:val="both"/>
      </w:pPr>
      <w:r>
        <w:rPr>
          <w:rFonts w:ascii="Times New Roman" w:cs="Times New Roman" w:eastAsia="Times New Roman" w:hAnsi="Times New Roman"/>
          <w:sz w:val="24"/>
          <w:szCs w:val="24"/>
        </w:rPr>
        <w:t xml:space="preserve">The TNC cannot now reverse course. Judicial estoppel applies when a party takes a position "totally inconsistent" with a position it "successfully" took previously, such that the first court "adopted the position or accepted it as true." (</w:t>
      </w:r>
      <w:r>
        <w:rPr>
          <w:rFonts w:ascii="Times New Roman" w:cs="Times New Roman" w:eastAsia="Times New Roman" w:hAnsi="Times New Roman"/>
          <w:i/>
          <w:iCs/>
          <w:sz w:val="24"/>
          <w:szCs w:val="24"/>
        </w:rPr>
        <w:t xml:space="preserve">Victrola 89 LLC v. Jaman Properties 8 LLC</w:t>
      </w:r>
      <w:r>
        <w:rPr>
          <w:rFonts w:ascii="Times New Roman" w:cs="Times New Roman" w:eastAsia="Times New Roman" w:hAnsi="Times New Roman"/>
          <w:sz w:val="24"/>
          <w:szCs w:val="24"/>
        </w:rPr>
        <w:t xml:space="preserve"> (2020) 46 Cal.App.5th 337, 358.) That doctrine fits this case. If section 7451 also eliminates tort liability for injuries to members of the public, strips injured passengers of established agency doctrines, overrides the Public Utilities Code's carrier responsibility framework, and immunizes TNCs from negligent retention and negligent undertaking claims, then Proposition 22 embraces a second subject entirely: tort reform. That subject was not disclosed to voters. It was not described in the ballot pamphlet. It was not part of the "common theme or purpose" the Court of Appeal identified when it upheld the initiative. And it cannot be reconciled with the single subject representation that saved Proposition 22 from constitutional invalidation.</w:t>
      </w:r>
    </w:p>
    <w:p>
      <w:pPr>
        <w:spacing w:after="240" w:before="0" w:line="480"/>
        <w:ind w:firstLine="720"/>
        <w:jc w:val="both"/>
      </w:pPr>
      <w:r>
        <w:rPr>
          <w:rFonts w:ascii="Times New Roman" w:cs="Times New Roman" w:eastAsia="Times New Roman" w:hAnsi="Times New Roman"/>
          <w:sz w:val="24"/>
          <w:szCs w:val="24"/>
        </w:rPr>
        <w:t xml:space="preserve">This Court faces a binary choice. Either Proposition 22 has a single subject, the regulation of employment relationships between drivers and TNCs, as Uber's and Lyft's own coalition represented and as the Court of Appeal held, in which case section 7451 does not reach tort liability because tort immunity is a different subject. Or section 7451 does reach tort liability, in which case Proposition 22 embraced two subjects and the representation that saved the initiative from constitutional challenge was wrong. The TNC is bound by the characterization its own proponents advanced to save the measure.</w:t>
      </w:r>
    </w:p>
    <w:p>
      <w:pPr>
        <w:spacing w:after="120" w:before="240" w:line="360"/>
        <w:ind w:left="0"/>
        <w:jc w:val="left"/>
      </w:pPr>
      <w:r>
        <w:rPr>
          <w:rFonts w:ascii="Times New Roman" w:cs="Times New Roman" w:eastAsia="Times New Roman" w:hAnsi="Times New Roman"/>
          <w:b/>
          <w:bCs/>
          <w:sz w:val="24"/>
          <w:szCs w:val="24"/>
        </w:rPr>
        <w:t xml:space="preserve">F.   Section 7451's "Not an Agent" Language Does Not Bar Non-Agency Theories.</w:t>
      </w:r>
    </w:p>
    <w:p>
      <w:pPr>
        <w:spacing w:after="240" w:before="0" w:line="480"/>
        <w:ind w:firstLine="720"/>
        <w:jc w:val="both"/>
      </w:pPr>
      <w:r>
        <w:rPr>
          <w:rFonts w:ascii="Times New Roman" w:cs="Times New Roman" w:eastAsia="Times New Roman" w:hAnsi="Times New Roman"/>
          <w:sz w:val="24"/>
          <w:szCs w:val="24"/>
        </w:rPr>
        <w:t xml:space="preserve">The TNC's other textual argument is that section 7451 provides that drivers are not "employees or agents." But the statute does not say drivers are "not agents" in the abstract. It says they are not "employees or agents with respect to the app-based driver's relationship with a network company." That limiting phrase restricts the classification to the bilateral driver-company relationship. It does not address the injured passenger's tort claim against the company.</w:t>
      </w:r>
    </w:p>
    <w:p>
      <w:pPr>
        <w:spacing w:after="240" w:before="0" w:line="480"/>
        <w:ind w:firstLine="720"/>
        <w:jc w:val="both"/>
      </w:pPr>
      <w:r>
        <w:rPr>
          <w:rFonts w:ascii="Times New Roman" w:cs="Times New Roman" w:eastAsia="Times New Roman" w:hAnsi="Times New Roman"/>
          <w:sz w:val="24"/>
          <w:szCs w:val="24"/>
        </w:rPr>
        <w:t xml:space="preserve">More fundamentally, the theories that carry the greatest weight in this case do not require any agency finding at all. Section 5354 operates through the permit holder's "approval or consent" to provide authorized service, not through common law agency. The direct liability theories (Civil Code section 1714, CACI 426 negligent retention, CACI 450 negligent undertaking) target the TNC's own institutional conduct, making the driver's classification entirely irrelevant. And the nondelegable common carrier duty under Civil Code section 2100 attaches to the TNC by virtue of its CPUC permit, not by virtue of any agency relationship with the driver. Even assuming the TNC's expansive reading of section 7451 were correct, only two of the seven theories (regulated hirer agency under </w:t>
      </w:r>
      <w:r>
        <w:rPr>
          <w:rFonts w:ascii="Times New Roman" w:cs="Times New Roman" w:eastAsia="Times New Roman" w:hAnsi="Times New Roman"/>
          <w:i/>
          <w:iCs/>
          <w:sz w:val="24"/>
          <w:szCs w:val="24"/>
        </w:rPr>
        <w:t xml:space="preserve">Secci</w:t>
      </w:r>
      <w:r>
        <w:rPr>
          <w:rFonts w:ascii="Times New Roman" w:cs="Times New Roman" w:eastAsia="Times New Roman" w:hAnsi="Times New Roman"/>
          <w:sz w:val="24"/>
          <w:szCs w:val="24"/>
        </w:rPr>
        <w:t xml:space="preserve"> and ostensible agency under CACI 3709) would even arguably be affected. The other five would survive intact.</w:t>
      </w:r>
    </w:p>
    <w:p>
      <w:pPr>
        <w:spacing w:after="240" w:before="0" w:line="480"/>
        <w:ind w:firstLine="720"/>
        <w:jc w:val="both"/>
      </w:pPr>
      <w:r>
        <w:rPr>
          <w:rFonts w:ascii="Times New Roman" w:cs="Times New Roman" w:eastAsia="Times New Roman" w:hAnsi="Times New Roman"/>
          <w:sz w:val="24"/>
          <w:szCs w:val="24"/>
        </w:rPr>
        <w:t xml:space="preserve">The Judicial Council's recent treatment of CACI 3704, the pattern jury instruction for disputed employee status in vicarious liability cases, confirms this reading. In 2025, the Judicial Council's Advisory Committee on Civil Jury Instructions deleted a reference to section 7451 from the instruction's user notes, stating that the deleted sentence "does not directly relate to vicarious liability for tort claims." While pattern jury instructions are not legal authority, the Advisory Committee's decision not to tie the standard tort vicarious liability instruction to Proposition 22 is consistent with the position that section 7451's classification test does not settle the vicarious liability question in tort cases.</w:t>
      </w:r>
    </w:p>
    <w:p>
      <w:pPr>
        <w:spacing w:after="120" w:before="240" w:line="360"/>
        <w:ind w:left="0"/>
        <w:jc w:val="left"/>
      </w:pPr>
      <w:r>
        <w:rPr>
          <w:rFonts w:ascii="Times New Roman" w:cs="Times New Roman" w:eastAsia="Times New Roman" w:hAnsi="Times New Roman"/>
          <w:b/>
          <w:bCs/>
          <w:sz w:val="24"/>
          <w:szCs w:val="24"/>
        </w:rPr>
        <w:t xml:space="preserve">G.   The Borello Framework Is Legally Irrelevant.</w:t>
      </w:r>
    </w:p>
    <w:p>
      <w:pPr>
        <w:spacing w:after="240" w:before="0" w:line="480"/>
        <w:ind w:firstLine="720"/>
        <w:jc w:val="both"/>
      </w:pPr>
      <w:r>
        <w:rPr>
          <w:rFonts w:ascii="Times New Roman" w:cs="Times New Roman" w:eastAsia="Times New Roman" w:hAnsi="Times New Roman"/>
          <w:sz w:val="24"/>
          <w:szCs w:val="24"/>
        </w:rPr>
        <w:t xml:space="preserve">The TNC devotes substantial argument to the </w:t>
      </w:r>
      <w:r>
        <w:rPr>
          <w:rFonts w:ascii="Times New Roman" w:cs="Times New Roman" w:eastAsia="Times New Roman" w:hAnsi="Times New Roman"/>
          <w:i/>
          <w:iCs/>
          <w:sz w:val="24"/>
          <w:szCs w:val="24"/>
        </w:rPr>
        <w:t xml:space="preserve">S.G. Borello &amp; Sons, Inc. v. Department of Industrial Relations</w:t>
      </w:r>
      <w:r>
        <w:rPr>
          <w:rFonts w:ascii="Times New Roman" w:cs="Times New Roman" w:eastAsia="Times New Roman" w:hAnsi="Times New Roman"/>
          <w:sz w:val="24"/>
          <w:szCs w:val="24"/>
        </w:rPr>
        <w:t xml:space="preserve"> (1989) 48 Cal.3d 341 factors. The </w:t>
      </w:r>
      <w:r>
        <w:rPr>
          <w:rFonts w:ascii="Times New Roman" w:cs="Times New Roman" w:eastAsia="Times New Roman" w:hAnsi="Times New Roman"/>
          <w:i/>
          <w:iCs/>
          <w:sz w:val="24"/>
          <w:szCs w:val="24"/>
        </w:rPr>
        <w:t xml:space="preserve">Borello</w:t>
      </w:r>
      <w:r>
        <w:rPr>
          <w:rFonts w:ascii="Times New Roman" w:cs="Times New Roman" w:eastAsia="Times New Roman" w:hAnsi="Times New Roman"/>
          <w:sz w:val="24"/>
          <w:szCs w:val="24"/>
        </w:rPr>
        <w:t xml:space="preserve"> factors determine whether an entity is an employer for purposes of California labor and employment law. None of the seven liability theories advanced here depends on that determination. Statutory imputation under section 5354 operates through permit-holder status. The nondelegable common carrier duty attaches to the TNC by operation of law as a CPUC permit holder. Direct negligence under section 1714 targets the TNC's own conduct. Negligent retention targets the TNC's knowledge and failure to act. Negligent undertaking targets the TNC's voluntary safety promises. The regulated hirer exception under </w:t>
      </w:r>
      <w:r>
        <w:rPr>
          <w:rFonts w:ascii="Times New Roman" w:cs="Times New Roman" w:eastAsia="Times New Roman" w:hAnsi="Times New Roman"/>
          <w:i/>
          <w:iCs/>
          <w:sz w:val="24"/>
          <w:szCs w:val="24"/>
        </w:rPr>
        <w:t xml:space="preserve">Secci</w:t>
      </w:r>
      <w:r>
        <w:rPr>
          <w:rFonts w:ascii="Times New Roman" w:cs="Times New Roman" w:eastAsia="Times New Roman" w:hAnsi="Times New Roman"/>
          <w:sz w:val="24"/>
          <w:szCs w:val="24"/>
        </w:rPr>
        <w:t xml:space="preserve"> expressly does not turn on </w:t>
      </w:r>
      <w:r>
        <w:rPr>
          <w:rFonts w:ascii="Times New Roman" w:cs="Times New Roman" w:eastAsia="Times New Roman" w:hAnsi="Times New Roman"/>
          <w:i/>
          <w:iCs/>
          <w:sz w:val="24"/>
          <w:szCs w:val="24"/>
        </w:rPr>
        <w:t xml:space="preserve">Borello</w:t>
      </w:r>
      <w:r>
        <w:rPr>
          <w:rFonts w:ascii="Times New Roman" w:cs="Times New Roman" w:eastAsia="Times New Roman" w:hAnsi="Times New Roman"/>
          <w:sz w:val="24"/>
          <w:szCs w:val="24"/>
        </w:rPr>
        <w:t xml:space="preserve">. And ostensible agency under CACI 3709 is judged from the passenger's perspective, not by the bilateral classification under </w:t>
      </w:r>
      <w:r>
        <w:rPr>
          <w:rFonts w:ascii="Times New Roman" w:cs="Times New Roman" w:eastAsia="Times New Roman" w:hAnsi="Times New Roman"/>
          <w:i/>
          <w:iCs/>
          <w:sz w:val="24"/>
          <w:szCs w:val="24"/>
        </w:rPr>
        <w:t xml:space="preserve">Borello</w:t>
      </w:r>
      <w:r>
        <w:rPr>
          <w:rFonts w:ascii="Times New Roman" w:cs="Times New Roman" w:eastAsia="Times New Roman" w:hAnsi="Times New Roman"/>
          <w:sz w:val="24"/>
          <w:szCs w:val="24"/>
        </w:rPr>
        <w:t xml:space="preserve">. The </w:t>
      </w:r>
      <w:r>
        <w:rPr>
          <w:rFonts w:ascii="Times New Roman" w:cs="Times New Roman" w:eastAsia="Times New Roman" w:hAnsi="Times New Roman"/>
          <w:i/>
          <w:iCs/>
          <w:sz w:val="24"/>
          <w:szCs w:val="24"/>
        </w:rPr>
        <w:t xml:space="preserve">Borello</w:t>
      </w:r>
      <w:r>
        <w:rPr>
          <w:rFonts w:ascii="Times New Roman" w:cs="Times New Roman" w:eastAsia="Times New Roman" w:hAnsi="Times New Roman"/>
          <w:sz w:val="24"/>
          <w:szCs w:val="24"/>
        </w:rPr>
        <w:t xml:space="preserve"> analysis is a lengthy detour to a destination that has nothing to do with the tort claims at issue.</w:t>
      </w:r>
    </w:p>
    <w:p>
      <w:pPr>
        <w:spacing w:after="240" w:before="0" w:line="480"/>
        <w:ind w:firstLine="720"/>
        <w:jc w:val="both"/>
      </w:pPr>
      <w:r>
        <w:rPr>
          <w:rFonts w:ascii="Times New Roman" w:cs="Times New Roman" w:eastAsia="Times New Roman" w:hAnsi="Times New Roman"/>
          <w:sz w:val="24"/>
          <w:szCs w:val="24"/>
        </w:rPr>
        <w:t xml:space="preserve">The TNC's invocation of facts about the driver's autonomy, that the driver was free to use other rideshare platforms, controlled his own schedule, chose his own navigation, was responsible for his own vehicle, may all be true. They are also irrelevant. None of those facts addresses whether the TNC bears statutory or tort responsibility for what occurred when its algorithm dispatched its permit-authorized driver to its passenger and that driver caused an injury. </w:t>
      </w:r>
      <w:r>
        <w:rPr>
          <w:rFonts w:ascii="Times New Roman" w:cs="Times New Roman" w:eastAsia="Times New Roman" w:hAnsi="Times New Roman"/>
          <w:i/>
          <w:iCs/>
          <w:sz w:val="24"/>
          <w:szCs w:val="24"/>
        </w:rPr>
        <w:t xml:space="preserve">Borello</w:t>
      </w:r>
      <w:r>
        <w:rPr>
          <w:rFonts w:ascii="Times New Roman" w:cs="Times New Roman" w:eastAsia="Times New Roman" w:hAnsi="Times New Roman"/>
          <w:sz w:val="24"/>
          <w:szCs w:val="24"/>
        </w:rPr>
        <w:t xml:space="preserve"> is the wrong test for the wrong question.</w:t>
      </w:r>
    </w:p>
    <w:p>
      <w:pPr>
        <w:spacing w:after="120" w:before="240" w:line="360"/>
        <w:ind w:left="0"/>
        <w:jc w:val="left"/>
      </w:pPr>
      <w:r>
        <w:rPr>
          <w:rFonts w:ascii="Times New Roman" w:cs="Times New Roman" w:eastAsia="Times New Roman" w:hAnsi="Times New Roman"/>
          <w:b/>
          <w:bCs/>
          <w:sz w:val="24"/>
          <w:szCs w:val="24"/>
        </w:rPr>
        <w:t xml:space="preserve">H.   Terms of Service Cannot Disclaim Statutory or Tort Liability.</w:t>
      </w:r>
    </w:p>
    <w:p>
      <w:pPr>
        <w:spacing w:after="240" w:before="0" w:line="480"/>
        <w:ind w:firstLine="720"/>
        <w:jc w:val="both"/>
      </w:pPr>
      <w:r>
        <w:rPr>
          <w:rFonts w:ascii="Times New Roman" w:cs="Times New Roman" w:eastAsia="Times New Roman" w:hAnsi="Times New Roman"/>
          <w:sz w:val="24"/>
          <w:szCs w:val="24"/>
        </w:rPr>
        <w:t xml:space="preserve">The TNC's reliance on Rider Terms of Service stating that drivers are not agents or employees fails for multiple reasons. First, the CPUC has expressly prohibited TNCs from using Terms of Service to evade regulatory obligations: "No Term &amp; Condition in a TNC's Terms of Service . . . can be inconsistent with this decision." (Decision 13-09-045.) A contractual disclaimer cannot override a statutory imputation provision, cannot waive a nondelegable duty of care, and cannot disclaim liability arising from the TNC's own negligent conduct.</w:t>
      </w:r>
    </w:p>
    <w:p>
      <w:pPr>
        <w:spacing w:after="240" w:before="0" w:line="480"/>
        <w:ind w:firstLine="720"/>
        <w:jc w:val="both"/>
      </w:pPr>
      <w:r>
        <w:rPr>
          <w:rFonts w:ascii="Times New Roman" w:cs="Times New Roman" w:eastAsia="Times New Roman" w:hAnsi="Times New Roman"/>
          <w:sz w:val="24"/>
          <w:szCs w:val="24"/>
        </w:rPr>
        <w:t xml:space="preserve">Second, the TNC's exculpatory provision is unenforceable under </w:t>
      </w:r>
      <w:r>
        <w:rPr>
          <w:rFonts w:ascii="Times New Roman" w:cs="Times New Roman" w:eastAsia="Times New Roman" w:hAnsi="Times New Roman"/>
          <w:i/>
          <w:iCs/>
          <w:sz w:val="24"/>
          <w:szCs w:val="24"/>
        </w:rPr>
        <w:t xml:space="preserve">Tunkl v. Regents of University of California</w:t>
      </w:r>
      <w:r>
        <w:rPr>
          <w:rFonts w:ascii="Times New Roman" w:cs="Times New Roman" w:eastAsia="Times New Roman" w:hAnsi="Times New Roman"/>
          <w:sz w:val="24"/>
          <w:szCs w:val="24"/>
        </w:rPr>
        <w:t xml:space="preserve"> (1963) 60 Cal.2d 92, 98-101. </w:t>
      </w:r>
      <w:r>
        <w:rPr>
          <w:rFonts w:ascii="Times New Roman" w:cs="Times New Roman" w:eastAsia="Times New Roman" w:hAnsi="Times New Roman"/>
          <w:i/>
          <w:iCs/>
          <w:sz w:val="24"/>
          <w:szCs w:val="24"/>
        </w:rPr>
        <w:t xml:space="preserve">Tunkl</w:t>
      </w:r>
      <w:r>
        <w:rPr>
          <w:rFonts w:ascii="Times New Roman" w:cs="Times New Roman" w:eastAsia="Times New Roman" w:hAnsi="Times New Roman"/>
          <w:sz w:val="24"/>
          <w:szCs w:val="24"/>
        </w:rPr>
        <w:t xml:space="preserve"> applies Civil Code section 1668 to invalidate exculpatory clauses in contracts affecting the public interest. The factors the Supreme Court identified are present here: the TNC's business is suitable for public regulation (and is in fact regulated by the CPUC); the TNC performs a service of great importance to the public; the TNC holds itself out as willing to perform the service for any member of the public; the TNC possesses decisive bargaining power through a standardized adhesion contract; and as a result of the transaction, the rider's person is placed under the control of the seller and its agents. Each </w:t>
      </w:r>
      <w:r>
        <w:rPr>
          <w:rFonts w:ascii="Times New Roman" w:cs="Times New Roman" w:eastAsia="Times New Roman" w:hAnsi="Times New Roman"/>
          <w:i/>
          <w:iCs/>
          <w:sz w:val="24"/>
          <w:szCs w:val="24"/>
        </w:rPr>
        <w:t xml:space="preserve">Tunkl</w:t>
      </w:r>
      <w:r>
        <w:rPr>
          <w:rFonts w:ascii="Times New Roman" w:cs="Times New Roman" w:eastAsia="Times New Roman" w:hAnsi="Times New Roman"/>
          <w:sz w:val="24"/>
          <w:szCs w:val="24"/>
        </w:rPr>
        <w:t xml:space="preserve"> factor is satisfied, rendering the TNC's exculpatory disclaimer unenforceable.</w:t>
      </w:r>
    </w:p>
    <w:p>
      <w:pPr>
        <w:spacing w:after="240" w:before="0" w:line="480"/>
        <w:ind w:firstLine="720"/>
        <w:jc w:val="both"/>
      </w:pPr>
      <w:r>
        <w:rPr>
          <w:rFonts w:ascii="Times New Roman" w:cs="Times New Roman" w:eastAsia="Times New Roman" w:hAnsi="Times New Roman"/>
          <w:sz w:val="24"/>
          <w:szCs w:val="24"/>
        </w:rPr>
        <w:t xml:space="preserve">Third, the TNC actively uses its Community Guidelines to attract and reassure users, promising safety, accountability, and review of unsafe driving. A company cannot simultaneously promise safety to induce reliance and disclaim responsibility for the safety it promises. (See </w:t>
      </w:r>
      <w:r>
        <w:rPr>
          <w:rFonts w:ascii="Times New Roman" w:cs="Times New Roman" w:eastAsia="Times New Roman" w:hAnsi="Times New Roman"/>
          <w:i/>
          <w:iCs/>
          <w:sz w:val="24"/>
          <w:szCs w:val="24"/>
        </w:rPr>
        <w:t xml:space="preserve">Artiglio</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 xml:space="preserve">supra</w:t>
      </w:r>
      <w:r>
        <w:rPr>
          <w:rFonts w:ascii="Times New Roman" w:cs="Times New Roman" w:eastAsia="Times New Roman" w:hAnsi="Times New Roman"/>
          <w:sz w:val="24"/>
          <w:szCs w:val="24"/>
        </w:rPr>
        <w:t xml:space="preserve">, 18 Cal.4th 604.)</w:t>
      </w:r>
    </w:p>
    <w:p>
      <w:pPr>
        <w:spacing w:after="120" w:before="240" w:line="360"/>
        <w:ind w:left="0"/>
        <w:jc w:val="left"/>
      </w:pPr>
      <w:r>
        <w:rPr>
          <w:rFonts w:ascii="Times New Roman" w:cs="Times New Roman" w:eastAsia="Times New Roman" w:hAnsi="Times New Roman"/>
          <w:b/>
          <w:bCs/>
          <w:sz w:val="24"/>
          <w:szCs w:val="24"/>
        </w:rPr>
        <w:t xml:space="preserve">I.   Trial Court Orders Are Not Precedent.</w:t>
      </w:r>
    </w:p>
    <w:p>
      <w:pPr>
        <w:spacing w:after="240" w:before="0" w:line="480"/>
        <w:ind w:firstLine="720"/>
        <w:jc w:val="both"/>
      </w:pPr>
      <w:r>
        <w:rPr>
          <w:rFonts w:ascii="Times New Roman" w:cs="Times New Roman" w:eastAsia="Times New Roman" w:hAnsi="Times New Roman"/>
          <w:sz w:val="24"/>
          <w:szCs w:val="24"/>
        </w:rPr>
        <w:t xml:space="preserve">The TNC will undoubtedly cite various unpublished trial court summary judgment orders. These have no precedential value. Most did not address Public Utilities Code section 5354 at all. None addressed </w:t>
      </w:r>
      <w:r>
        <w:rPr>
          <w:rFonts w:ascii="Times New Roman" w:cs="Times New Roman" w:eastAsia="Times New Roman" w:hAnsi="Times New Roman"/>
          <w:i/>
          <w:iCs/>
          <w:sz w:val="24"/>
          <w:szCs w:val="24"/>
        </w:rPr>
        <w:t xml:space="preserve">Secci</w:t>
      </w:r>
      <w:r>
        <w:rPr>
          <w:rFonts w:ascii="Times New Roman" w:cs="Times New Roman" w:eastAsia="Times New Roman" w:hAnsi="Times New Roman"/>
          <w:sz w:val="24"/>
          <w:szCs w:val="24"/>
        </w:rPr>
        <w:t xml:space="preserve">'s regulated hirer exception in the TNC context. None addressed CACI 450 negligent undertaking. None post-date the Ninth Circuit's published certification order in </w:t>
      </w:r>
      <w:r>
        <w:rPr>
          <w:rFonts w:ascii="Times New Roman" w:cs="Times New Roman" w:eastAsia="Times New Roman" w:hAnsi="Times New Roman"/>
          <w:i/>
          <w:iCs/>
          <w:sz w:val="24"/>
          <w:szCs w:val="24"/>
        </w:rPr>
        <w:t xml:space="preserve">Doe v. Uber Technologies, Inc.</w:t>
      </w:r>
      <w:r>
        <w:rPr>
          <w:rFonts w:ascii="Times New Roman" w:cs="Times New Roman" w:eastAsia="Times New Roman" w:hAnsi="Times New Roman"/>
          <w:sz w:val="24"/>
          <w:szCs w:val="24"/>
        </w:rPr>
        <w:t xml:space="preserve"> (9th Cir. 2024) 90 F.4th 946 or the subsequent January 2025 memorandum disposition reversing summary judgment for Uber. Rulings from other states, applying different statutes and regulatory frameworks, are not persuasive on questions of California law. Awards and orders addressing only the discrete question of whether a driver is an employee or independent contractor under state labor law have no bearing on the seven non-employment-based theories presented here.</w:t>
      </w:r>
    </w:p>
    <w:p>
      <w:pPr>
        <w:spacing w:after="240" w:before="360" w:line="360"/>
        <w:jc w:val="center"/>
      </w:pPr>
      <w:r>
        <w:rPr>
          <w:rFonts w:ascii="Times New Roman" w:cs="Times New Roman" w:eastAsia="Times New Roman" w:hAnsi="Times New Roman"/>
          <w:b/>
          <w:bCs/>
          <w:sz w:val="24"/>
          <w:szCs w:val="24"/>
        </w:rPr>
        <w:t xml:space="preserve">XI.   THE TNC'S REMAINING DEFENSES FAIL</w:t>
      </w:r>
    </w:p>
    <w:p>
      <w:pPr>
        <w:spacing w:after="120" w:before="240" w:line="360"/>
        <w:ind w:left="0"/>
        <w:jc w:val="left"/>
      </w:pPr>
      <w:r>
        <w:rPr>
          <w:rFonts w:ascii="Times New Roman" w:cs="Times New Roman" w:eastAsia="Times New Roman" w:hAnsi="Times New Roman"/>
          <w:b/>
          <w:bCs/>
          <w:sz w:val="24"/>
          <w:szCs w:val="24"/>
        </w:rPr>
        <w:t xml:space="preserve">A.   The $1 Million Insurance Limit Is Irrelevant to Liability.</w:t>
      </w:r>
    </w:p>
    <w:p>
      <w:pPr>
        <w:spacing w:after="240" w:before="0" w:line="480"/>
        <w:ind w:firstLine="720"/>
        <w:jc w:val="both"/>
      </w:pPr>
      <w:r>
        <w:rPr>
          <w:rFonts w:ascii="Times New Roman" w:cs="Times New Roman" w:eastAsia="Times New Roman" w:hAnsi="Times New Roman"/>
          <w:sz w:val="24"/>
          <w:szCs w:val="24"/>
        </w:rPr>
        <w:t xml:space="preserve">The TNC frequently argues that the $1 million insurance policy maintained for its drivers is sufficient to satisfy any recoverable damages and that imposing liability on the TNC itself would be inconsistent with California's regulatory framework. This is a policy argument dressed as a legal defense. The amount of insurance a TNC maintains has no bearing on whether the TNC is liable. Public Utilities Code section 5433, subdivision (f), expressly provides that insurance requirements "shall not limit the liability of a transportation network company arising out of an automobile accident involving a participating driver." The Legislature specifically anticipated, and rejected, the argument the TNC now advances: that the minimum insurance requirement represents a cap on TNC liability. TNCs maintain substantial excess coverage precisely because the Legislature recognized that minimum policy limits may be wholly inadequate for catastrophic injuries.</w:t>
      </w:r>
    </w:p>
    <w:p>
      <w:pPr>
        <w:spacing w:after="120" w:before="240" w:line="360"/>
        <w:ind w:left="0"/>
        <w:jc w:val="left"/>
      </w:pPr>
      <w:r>
        <w:rPr>
          <w:rFonts w:ascii="Times New Roman" w:cs="Times New Roman" w:eastAsia="Times New Roman" w:hAnsi="Times New Roman"/>
          <w:b/>
          <w:bCs/>
          <w:sz w:val="24"/>
          <w:szCs w:val="24"/>
        </w:rPr>
        <w:t xml:space="preserve">B.   The Charter-Party Carrier Framework Applies Even Where the Plaintiff Was Not a Passenger.</w:t>
      </w:r>
    </w:p>
    <w:p>
      <w:pPr>
        <w:spacing w:after="240" w:before="0" w:line="480"/>
        <w:ind w:firstLine="720"/>
        <w:jc w:val="both"/>
      </w:pPr>
      <w:r>
        <w:rPr>
          <w:rFonts w:ascii="Times New Roman" w:cs="Times New Roman" w:eastAsia="Times New Roman" w:hAnsi="Times New Roman"/>
          <w:sz w:val="24"/>
          <w:szCs w:val="24"/>
        </w:rPr>
        <w:t xml:space="preserve">Where the injured plaintiff was not the TNC's passenger but a third-party member of the public (for example, the occupant of another vehicle struck by a TNC driver), the heightened common carrier duty of utmost care under Civil Code section 2100 may not apply with full force. But the charter party carrier framework remains relevant in three important respects.</w:t>
      </w:r>
    </w:p>
    <w:p>
      <w:pPr>
        <w:spacing w:after="240" w:before="0" w:line="480"/>
        <w:ind w:firstLine="720"/>
        <w:jc w:val="both"/>
      </w:pPr>
      <w:r>
        <w:rPr>
          <w:rFonts w:ascii="Times New Roman" w:cs="Times New Roman" w:eastAsia="Times New Roman" w:hAnsi="Times New Roman"/>
          <w:sz w:val="24"/>
          <w:szCs w:val="24"/>
        </w:rPr>
        <w:t xml:space="preserve">First, the TNC's status as a charter party carrier informs the duty, foreseeability, and control analysis under Civil Code section 1714. A company operating under a CPUC permit as a transportation carrier cannot be treated as though it were an ordinary technology platform with no connection to the transportation activity its drivers perform. Second, the section 5354 imputation rule and the section 5433(f) savings clause apply to all liability arising out of authorized service, regardless of whether the injured person was a passenger. Section 5354 imputes the driver's conduct to the permit holder, full stop, without regard to the identity of the injured party. Third, </w:t>
      </w:r>
      <w:r>
        <w:rPr>
          <w:rFonts w:ascii="Times New Roman" w:cs="Times New Roman" w:eastAsia="Times New Roman" w:hAnsi="Times New Roman"/>
          <w:i/>
          <w:iCs/>
          <w:sz w:val="24"/>
          <w:szCs w:val="24"/>
        </w:rPr>
        <w:t xml:space="preserve">Eli v. Murphy</w:t>
      </w:r>
      <w:r>
        <w:rPr>
          <w:rFonts w:ascii="Times New Roman" w:cs="Times New Roman" w:eastAsia="Times New Roman" w:hAnsi="Times New Roman"/>
          <w:sz w:val="24"/>
          <w:szCs w:val="24"/>
        </w:rPr>
        <w:t xml:space="preserve">'s policy rationale, that members of the public injured by carriers' independent contractors should not be deprived of the financial responsibility of those granted the privilege of conducting their business over the public highways (</w:t>
      </w:r>
      <w:r>
        <w:rPr>
          <w:rFonts w:ascii="Times New Roman" w:cs="Times New Roman" w:eastAsia="Times New Roman" w:hAnsi="Times New Roman"/>
          <w:i/>
          <w:iCs/>
          <w:sz w:val="24"/>
          <w:szCs w:val="24"/>
        </w:rPr>
        <w:t xml:space="preserve">Eli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 xml:space="preserve">supra</w:t>
      </w:r>
      <w:r>
        <w:rPr>
          <w:rFonts w:ascii="Times New Roman" w:cs="Times New Roman" w:eastAsia="Times New Roman" w:hAnsi="Times New Roman"/>
          <w:sz w:val="24"/>
          <w:szCs w:val="24"/>
        </w:rPr>
        <w:t xml:space="preserve">, 39 Cal.2d at p. 600), applies with full force to non-passenger third parties as well.</w:t>
      </w:r>
    </w:p>
    <w:p>
      <w:pPr>
        <w:spacing w:after="120" w:before="240" w:line="360"/>
        <w:ind w:left="0"/>
        <w:jc w:val="left"/>
      </w:pPr>
      <w:r>
        <w:rPr>
          <w:rFonts w:ascii="Times New Roman" w:cs="Times New Roman" w:eastAsia="Times New Roman" w:hAnsi="Times New Roman"/>
          <w:b/>
          <w:bCs/>
          <w:sz w:val="24"/>
          <w:szCs w:val="24"/>
        </w:rPr>
        <w:t xml:space="preserve">C.   Public Policy Strongly Favors TNC Accountability.</w:t>
      </w:r>
    </w:p>
    <w:p>
      <w:pPr>
        <w:spacing w:after="240" w:before="0" w:line="480"/>
        <w:ind w:firstLine="720"/>
        <w:jc w:val="both"/>
      </w:pPr>
      <w:r>
        <w:rPr>
          <w:rFonts w:ascii="Times New Roman" w:cs="Times New Roman" w:eastAsia="Times New Roman" w:hAnsi="Times New Roman"/>
          <w:sz w:val="24"/>
          <w:szCs w:val="24"/>
        </w:rPr>
        <w:t xml:space="preserve">California has long recognized that businesses placing automobile drivers on the road should bear responsibility for injuries caused by those drivers' negligence. "[A]ccidents" are "statistically certain to occur," so the "risks of such accidents are risks incident to the business enterprise" that places drivers on the road. (</w:t>
      </w:r>
      <w:r>
        <w:rPr>
          <w:rFonts w:ascii="Times New Roman" w:cs="Times New Roman" w:eastAsia="Times New Roman" w:hAnsi="Times New Roman"/>
          <w:i/>
          <w:iCs/>
          <w:sz w:val="24"/>
          <w:szCs w:val="24"/>
        </w:rPr>
        <w:t xml:space="preserve">Hinojosa v. Workmen's Compensation Appeals Board</w:t>
      </w:r>
      <w:r>
        <w:rPr>
          <w:rFonts w:ascii="Times New Roman" w:cs="Times New Roman" w:eastAsia="Times New Roman" w:hAnsi="Times New Roman"/>
          <w:sz w:val="24"/>
          <w:szCs w:val="24"/>
        </w:rPr>
        <w:t xml:space="preserve"> (1972) 8 Cal.3d 150, 157-158; accord </w:t>
      </w:r>
      <w:r>
        <w:rPr>
          <w:rFonts w:ascii="Times New Roman" w:cs="Times New Roman" w:eastAsia="Times New Roman" w:hAnsi="Times New Roman"/>
          <w:i/>
          <w:iCs/>
          <w:sz w:val="24"/>
          <w:szCs w:val="24"/>
        </w:rPr>
        <w:t xml:space="preserve">Hinman v. Westinghouse Electric Co.</w:t>
      </w:r>
      <w:r>
        <w:rPr>
          <w:rFonts w:ascii="Times New Roman" w:cs="Times New Roman" w:eastAsia="Times New Roman" w:hAnsi="Times New Roman"/>
          <w:sz w:val="24"/>
          <w:szCs w:val="24"/>
        </w:rPr>
        <w:t xml:space="preserve"> (1970) 2 Cal.3d 956, 959-960.) That public safety policy is so important that it applies even to enterprises whose business is wholly unrelated to roadway driving if they merely require their workers to commute to and from a jobsite. The TNCs, by contrast, are in the literal business of placing drivers on California roads, completing tens of millions of trips per year and earning substantial revenue from each one. Holding TNCs responsible for the injuries inevitably caused by their massive driver fleets is not just consistent with California's clear safety policies; it flows directly from California common law and statute, and is unaffected by Proposition 22.</w:t>
      </w:r>
    </w:p>
    <w:p>
      <w:pPr>
        <w:spacing w:after="240" w:before="0" w:line="480"/>
        <w:ind w:firstLine="720"/>
        <w:jc w:val="both"/>
      </w:pPr>
      <w:r>
        <w:rPr>
          <w:rFonts w:ascii="Times New Roman" w:cs="Times New Roman" w:eastAsia="Times New Roman" w:hAnsi="Times New Roman"/>
          <w:sz w:val="24"/>
          <w:szCs w:val="24"/>
        </w:rPr>
        <w:t xml:space="preserve">The CPUC recognized this danger from the inception of TNC regulation: "[I]t would greatly harm consumers for the CPUC to sanction the creation of new TNC businesses that purport to take no responsibility for [their] driver's acts." (Decision 13-09-045.) Granting summary judgment on the TNC's expansive reading of Proposition 22 would do exactly what the CPUC said it would not permit: sanction the creation of a TNC business that purports to take no responsibility for its driver's acts. Insurance is not a substitute for legal accountability. Insurance determines who writes the check; liability determines who bears the legal obligation and the incentive to prevent future harm. A company that faces no legal liability for its operational decisions has diminished incentive to monitor driver safety, investigate complaints, or remove dangerous drivers.</w:t>
      </w:r>
    </w:p>
    <w:p>
      <w:pPr>
        <w:spacing w:after="240" w:before="360" w:line="360"/>
        <w:jc w:val="center"/>
      </w:pPr>
      <w:r>
        <w:rPr>
          <w:rFonts w:ascii="Times New Roman" w:cs="Times New Roman" w:eastAsia="Times New Roman" w:hAnsi="Times New Roman"/>
          <w:b/>
          <w:bCs/>
          <w:sz w:val="24"/>
          <w:szCs w:val="24"/>
        </w:rPr>
        <w:t xml:space="preserve">XII.   CONCLUSION</w:t>
      </w:r>
    </w:p>
    <w:p>
      <w:pPr>
        <w:spacing w:after="240" w:before="0" w:line="480"/>
        <w:ind w:firstLine="720"/>
        <w:jc w:val="both"/>
      </w:pPr>
      <w:r>
        <w:rPr>
          <w:rFonts w:ascii="Times New Roman" w:cs="Times New Roman" w:eastAsia="Times New Roman" w:hAnsi="Times New Roman"/>
          <w:sz w:val="24"/>
          <w:szCs w:val="24"/>
        </w:rPr>
        <w:t xml:space="preserve">For the foregoing reasons, Plaintiff respectfully requests that this Court deny the TNC's motion in its entirety. Under California law, at least seven independent legal theories establish TNC liability for driver negligence.</w:t>
      </w:r>
    </w:p>
    <w:p>
      <w:pPr>
        <w:spacing w:after="240" w:before="0" w:line="480"/>
        <w:ind w:firstLine="720"/>
        <w:jc w:val="both"/>
      </w:pPr>
      <w:r>
        <w:rPr>
          <w:rFonts w:ascii="Times New Roman" w:cs="Times New Roman" w:eastAsia="Times New Roman" w:hAnsi="Times New Roman"/>
          <w:sz w:val="24"/>
          <w:szCs w:val="24"/>
        </w:rPr>
        <w:t xml:space="preserve">At the statutory and regulatory level, Public Utilities Code section 5354 imputes driver conduct to the permit holder regardless of classification, section 5433(f) preserves TNC liability for amounts above the required insurance, section 2106 provides a private right of action enforceable in any court of competent jurisdiction, and Civil Code section 2100 imposes a nondelegable common carrier duty. At the vicarious liability level, the regulated hirer exception under </w:t>
      </w:r>
      <w:r>
        <w:rPr>
          <w:rFonts w:ascii="Times New Roman" w:cs="Times New Roman" w:eastAsia="Times New Roman" w:hAnsi="Times New Roman"/>
          <w:i/>
          <w:iCs/>
          <w:sz w:val="24"/>
          <w:szCs w:val="24"/>
        </w:rPr>
        <w:t xml:space="preserve">Secci</w:t>
      </w:r>
      <w:r>
        <w:rPr>
          <w:rFonts w:ascii="Times New Roman" w:cs="Times New Roman" w:eastAsia="Times New Roman" w:hAnsi="Times New Roman"/>
          <w:sz w:val="24"/>
          <w:szCs w:val="24"/>
        </w:rPr>
        <w:t xml:space="preserve"> and ostensible agency under CACI 3709 establish liability through pathways independent of employment classification. At the direct liability level, Civil Code section 1714, CACI 426, and CACI 450 target the TNC's own institutional conduct, making the driver's classification entirely beside the point.</w:t>
      </w:r>
    </w:p>
    <w:p>
      <w:pPr>
        <w:spacing w:after="240" w:before="0" w:line="480"/>
        <w:ind w:firstLine="720"/>
        <w:jc w:val="both"/>
      </w:pPr>
      <w:r>
        <w:rPr>
          <w:rFonts w:ascii="Times New Roman" w:cs="Times New Roman" w:eastAsia="Times New Roman" w:hAnsi="Times New Roman"/>
          <w:sz w:val="24"/>
          <w:szCs w:val="24"/>
        </w:rPr>
        <w:t xml:space="preserve">Proposition 22 is a labor classification initiative. It does not reference the Public Utilities Code, the Civil Code, or any tort framework. No appellate court has extended it to bar third-party tort claims. The statutory construction canons, the historical context, the voter intent evidence, the single-subject representation that saved the initiative from invalidation, and the implied repeal doctrine all confirm its limited scope.</w:t>
      </w:r>
    </w:p>
    <w:p>
      <w:pPr>
        <w:spacing w:after="240" w:before="0" w:line="480"/>
        <w:ind w:firstLine="720"/>
        <w:jc w:val="both"/>
      </w:pPr>
      <w:r>
        <w:rPr>
          <w:rFonts w:ascii="Times New Roman" w:cs="Times New Roman" w:eastAsia="Times New Roman" w:hAnsi="Times New Roman"/>
          <w:sz w:val="24"/>
          <w:szCs w:val="24"/>
        </w:rPr>
        <w:t xml:space="preserve">The TNC's motion must defeat all seven theories. It does not defeat any of them. The motion should be denied in its entirety.</w:t>
      </w:r>
    </w:p>
    <w:p>
      <w:pPr>
        <w:spacing w:after="240" w:before="0" w:line="480"/>
        <w:ind w:firstLine="0"/>
        <w:jc w:val="both"/>
      </w:pPr>
      <w:r>
        <w:rPr>
          <w:rFonts w:ascii="Times New Roman" w:cs="Times New Roman" w:eastAsia="Times New Roman" w:hAnsi="Times New Roman"/>
          <w:sz w:val="24"/>
          <w:szCs w:val="24"/>
        </w:rPr>
        <w:t xml:space="preserve">Dated: ____________________</w:t>
      </w:r>
    </w:p>
    <w:p>
      <w:pPr>
        <w:spacing w:after="240" w:before="0" w:line="480"/>
        <w:ind w:firstLine="0"/>
        <w:jc w:val="both"/>
      </w:pPr>
      <w:r>
        <w:rPr>
          <w:rFonts w:ascii="Times New Roman" w:cs="Times New Roman" w:eastAsia="Times New Roman" w:hAnsi="Times New Roman"/>
          <w:sz w:val="24"/>
          <w:szCs w:val="24"/>
        </w:rPr>
        <w:t xml:space="preserve">                                                                  Respectfully submitted,</w:t>
      </w:r>
    </w:p>
    <w:p>
      <w:pPr>
        <w:spacing w:after="240" w:before="0" w:line="480"/>
        <w:ind w:firstLine="0"/>
        <w:jc w:val="both"/>
      </w:pPr>
      <w:r>
        <w:rPr>
          <w:rFonts w:ascii="Times New Roman" w:cs="Times New Roman" w:eastAsia="Times New Roman" w:hAnsi="Times New Roman"/>
          <w:sz w:val="24"/>
          <w:szCs w:val="24"/>
        </w:rPr>
        <w:t xml:space="preserve"/>
      </w:r>
    </w:p>
    <w:p>
      <w:pPr>
        <w:spacing w:after="240" w:before="0" w:line="480"/>
        <w:ind w:firstLine="0"/>
        <w:jc w:val="both"/>
      </w:pPr>
      <w:r>
        <w:rPr>
          <w:rFonts w:ascii="Times New Roman" w:cs="Times New Roman" w:eastAsia="Times New Roman" w:hAnsi="Times New Roman"/>
          <w:sz w:val="24"/>
          <w:szCs w:val="24"/>
        </w:rPr>
        <w:t xml:space="preserve">                                                                  ____________________________________</w:t>
      </w:r>
    </w:p>
    <w:p>
      <w:pPr>
        <w:spacing w:after="240" w:before="0" w:line="480"/>
        <w:ind w:firstLine="0"/>
        <w:jc w:val="both"/>
      </w:pPr>
      <w:r>
        <w:rPr>
          <w:rFonts w:ascii="Times New Roman" w:cs="Times New Roman" w:eastAsia="Times New Roman" w:hAnsi="Times New Roman"/>
          <w:sz w:val="24"/>
          <w:szCs w:val="24"/>
        </w:rPr>
        <w:t xml:space="preserve">                                                                  Counsel for Plaintiff</w:t>
      </w:r>
    </w:p>
    <w:sectPr>
      <w:headerReference w:type="default" r:id="rId7"/>
      <w:footerReference w:type="default" r:id="rId8"/>
      <w:pgSz w:w="12240" w:h="15840" w:orient="portrait"/>
      <w:pgMar w:top="1440" w:right="1440" w:bottom="1440" w:left="1440" w:header="708" w:footer="708" w:gutter="0"/>
      <w:pgNumType w:start="1" w:fmt="decimal"/>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Times New Roman" w:cs="Times New Roman" w:eastAsia="Times New Roman" w:hAnsi="Times New Roman"/>
        <w:sz w:val="20"/>
        <w:szCs w:val="20"/>
      </w:rPr>
      <w:t xml:space="preserve">PLAINTIFF'S OPPOSITION TO TNC MOTION FOR SUMMARY JUDGMENT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2026-04-28T20:59:24.156Z</dcterms:created>
  <dcterms:modified xsi:type="dcterms:W3CDTF">2026-04-28T20:59:24.172Z</dcterms:modified>
</cp:coreProperties>
</file>

<file path=docProps/custom.xml><?xml version="1.0" encoding="utf-8"?>
<Properties xmlns="http://schemas.openxmlformats.org/officeDocument/2006/custom-properties" xmlns:vt="http://schemas.openxmlformats.org/officeDocument/2006/docPropsVTypes"/>
</file>